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BD2" w:rsidRDefault="00444BD2" w:rsidP="00A15377">
      <w:pPr>
        <w:spacing w:line="1000" w:lineRule="exact"/>
        <w:jc w:val="center"/>
        <w:rPr>
          <w:rFonts w:eastAsia="华文中宋" w:hAnsi="华文中宋"/>
          <w:b/>
          <w:color w:val="000000"/>
          <w:spacing w:val="-8"/>
          <w:sz w:val="44"/>
          <w:szCs w:val="44"/>
        </w:rPr>
      </w:pPr>
    </w:p>
    <w:p w:rsidR="00444BD2" w:rsidRPr="00E11021" w:rsidRDefault="00444BD2" w:rsidP="00A15377">
      <w:pPr>
        <w:spacing w:line="600" w:lineRule="exact"/>
        <w:jc w:val="center"/>
        <w:rPr>
          <w:rFonts w:eastAsia="华文中宋"/>
          <w:b/>
          <w:color w:val="000000"/>
          <w:spacing w:val="-8"/>
          <w:sz w:val="44"/>
          <w:szCs w:val="44"/>
        </w:rPr>
      </w:pPr>
      <w:r w:rsidRPr="00E11021">
        <w:rPr>
          <w:rFonts w:eastAsia="华文中宋" w:hAnsi="华文中宋" w:hint="eastAsia"/>
          <w:b/>
          <w:color w:val="000000"/>
          <w:spacing w:val="-8"/>
          <w:sz w:val="44"/>
          <w:szCs w:val="44"/>
        </w:rPr>
        <w:t>江山市人民法院</w:t>
      </w:r>
    </w:p>
    <w:p w:rsidR="00444BD2" w:rsidRPr="00E11021" w:rsidRDefault="00444BD2" w:rsidP="00A15377">
      <w:pPr>
        <w:spacing w:line="600" w:lineRule="exact"/>
        <w:jc w:val="center"/>
        <w:rPr>
          <w:rFonts w:eastAsia="华文中宋"/>
          <w:b/>
          <w:color w:val="000000"/>
          <w:spacing w:val="-8"/>
          <w:sz w:val="44"/>
          <w:szCs w:val="44"/>
        </w:rPr>
      </w:pPr>
      <w:r w:rsidRPr="00E11021">
        <w:rPr>
          <w:rFonts w:eastAsia="华文中宋"/>
          <w:b/>
          <w:color w:val="000000"/>
          <w:spacing w:val="-8"/>
          <w:sz w:val="44"/>
          <w:szCs w:val="44"/>
        </w:rPr>
        <w:t>2019</w:t>
      </w:r>
      <w:r w:rsidRPr="00E11021">
        <w:rPr>
          <w:rFonts w:eastAsia="华文中宋" w:hint="eastAsia"/>
          <w:b/>
          <w:color w:val="000000"/>
          <w:spacing w:val="-8"/>
          <w:sz w:val="44"/>
          <w:szCs w:val="44"/>
        </w:rPr>
        <w:t>年审执工作情况通报</w:t>
      </w:r>
    </w:p>
    <w:p w:rsidR="00444BD2" w:rsidRPr="00E11021" w:rsidRDefault="00D1315C" w:rsidP="00317895">
      <w:pPr>
        <w:spacing w:beforeLines="50" w:line="600" w:lineRule="exact"/>
        <w:jc w:val="center"/>
        <w:rPr>
          <w:rFonts w:eastAsia="楷体_GB2312"/>
          <w:color w:val="000000"/>
          <w:spacing w:val="-8"/>
          <w:sz w:val="32"/>
          <w:szCs w:val="32"/>
        </w:rPr>
      </w:pPr>
      <w:r w:rsidRPr="00D1315C">
        <w:rPr>
          <w:noProof/>
        </w:rPr>
        <w:pict>
          <v:line id="_x0000_s1026" style="position:absolute;left:0;text-align:left;z-index:1" from="1.25pt,95.95pt" to="444.55pt,95.95pt" stroked="f"/>
        </w:pict>
      </w:r>
      <w:r w:rsidR="00444BD2" w:rsidRPr="00E11021">
        <w:rPr>
          <w:rFonts w:eastAsia="楷体_GB2312" w:hint="eastAsia"/>
          <w:color w:val="000000"/>
          <w:spacing w:val="-8"/>
          <w:sz w:val="32"/>
          <w:szCs w:val="32"/>
        </w:rPr>
        <w:t>江山法院审判管理办公室</w:t>
      </w:r>
    </w:p>
    <w:p w:rsidR="00444BD2" w:rsidRPr="00E11021" w:rsidRDefault="00444BD2" w:rsidP="00A15377">
      <w:pPr>
        <w:spacing w:line="500" w:lineRule="exact"/>
        <w:jc w:val="center"/>
        <w:rPr>
          <w:rFonts w:eastAsia="楷体_GB2312"/>
          <w:b/>
          <w:color w:val="000000"/>
          <w:spacing w:val="-8"/>
          <w:sz w:val="28"/>
          <w:szCs w:val="28"/>
        </w:rPr>
      </w:pPr>
    </w:p>
    <w:p w:rsidR="00444BD2" w:rsidRPr="008C41F2" w:rsidRDefault="00D1315C" w:rsidP="00317895">
      <w:pPr>
        <w:spacing w:line="560" w:lineRule="exact"/>
        <w:ind w:firstLineChars="300" w:firstLine="630"/>
        <w:rPr>
          <w:rFonts w:ascii="黑体" w:eastAsia="黑体"/>
          <w:color w:val="000000"/>
          <w:spacing w:val="-4"/>
          <w:kern w:val="0"/>
          <w:sz w:val="32"/>
          <w:szCs w:val="32"/>
        </w:rPr>
      </w:pPr>
      <w:r w:rsidRPr="00D1315C">
        <w:rPr>
          <w:noProof/>
        </w:rPr>
        <w:pict>
          <v:line id="_x0000_s1027" style="position:absolute;left:0;text-align:left;z-index:2" from="-9.2pt,-40.85pt" to="439.3pt,-40.85pt" stroked="f"/>
        </w:pict>
      </w:r>
      <w:r w:rsidR="00444BD2" w:rsidRPr="008C41F2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一、</w:t>
      </w:r>
      <w:r w:rsidR="00444BD2" w:rsidRPr="008C41F2">
        <w:rPr>
          <w:rFonts w:ascii="黑体" w:eastAsia="黑体"/>
          <w:color w:val="000000"/>
          <w:spacing w:val="-4"/>
          <w:kern w:val="0"/>
          <w:sz w:val="32"/>
          <w:szCs w:val="32"/>
        </w:rPr>
        <w:t>2019</w:t>
      </w:r>
      <w:r w:rsidR="00444BD2" w:rsidRPr="008C41F2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年收结存案件情况</w:t>
      </w:r>
    </w:p>
    <w:p w:rsidR="00444BD2" w:rsidRPr="008C41F2" w:rsidRDefault="00444BD2" w:rsidP="00317895">
      <w:pPr>
        <w:adjustRightInd w:val="0"/>
        <w:spacing w:line="560" w:lineRule="exact"/>
        <w:ind w:firstLineChars="200" w:firstLine="624"/>
        <w:textAlignment w:val="baseline"/>
        <w:rPr>
          <w:rFonts w:ascii="仿宋_GB2312" w:eastAsia="仿宋_GB2312"/>
          <w:color w:val="000000"/>
          <w:spacing w:val="-4"/>
          <w:kern w:val="0"/>
          <w:sz w:val="32"/>
          <w:szCs w:val="32"/>
        </w:rPr>
      </w:pP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2019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，我院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新收各类案件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10300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7.12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；结案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10343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8.09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；未结案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1049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3.94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其中，刑事案件收案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464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件（不含刑罚变更案件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10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件），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占收案总数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4.5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同比上升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11.8%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民</w:t>
      </w:r>
      <w:r w:rsidRPr="008C41F2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商事案件收案</w:t>
      </w:r>
      <w:r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4652</w:t>
      </w:r>
      <w:r w:rsidRPr="008C41F2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件，占收案总数</w:t>
      </w:r>
      <w:r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45.16</w:t>
      </w:r>
      <w:r w:rsidRPr="008C41F2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同比下降</w:t>
      </w:r>
      <w:r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16.6%</w:t>
      </w:r>
      <w:r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；</w:t>
      </w:r>
      <w:r w:rsidRPr="008C41F2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执行案件收案</w:t>
      </w:r>
      <w:r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4284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件，占收案总数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41.59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5.32%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444BD2" w:rsidRPr="005D7716" w:rsidRDefault="00444BD2" w:rsidP="00317895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  <w:r w:rsidRPr="005D7716">
        <w:rPr>
          <w:rFonts w:ascii="楷体_GB2312" w:eastAsia="楷体_GB2312" w:hint="eastAsia"/>
          <w:b/>
          <w:color w:val="000000"/>
          <w:kern w:val="0"/>
          <w:sz w:val="24"/>
        </w:rPr>
        <w:t>图</w:t>
      </w:r>
      <w:r w:rsidRPr="005D7716">
        <w:rPr>
          <w:rFonts w:ascii="楷体_GB2312" w:eastAsia="楷体_GB2312"/>
          <w:b/>
          <w:color w:val="000000"/>
          <w:kern w:val="0"/>
          <w:sz w:val="24"/>
        </w:rPr>
        <w:t>1</w:t>
      </w:r>
      <w:r w:rsidRPr="005D7716">
        <w:rPr>
          <w:rFonts w:ascii="楷体_GB2312" w:eastAsia="楷体_GB2312" w:hint="eastAsia"/>
          <w:b/>
          <w:color w:val="000000"/>
          <w:kern w:val="0"/>
          <w:sz w:val="24"/>
        </w:rPr>
        <w:t>：全市法院</w:t>
      </w:r>
      <w:r w:rsidRPr="005D7716">
        <w:rPr>
          <w:rFonts w:ascii="楷体_GB2312" w:eastAsia="楷体_GB2312"/>
          <w:b/>
          <w:color w:val="000000"/>
          <w:kern w:val="0"/>
          <w:sz w:val="24"/>
        </w:rPr>
        <w:t>2019</w:t>
      </w:r>
      <w:r w:rsidRPr="005D7716">
        <w:rPr>
          <w:rFonts w:ascii="楷体_GB2312" w:eastAsia="楷体_GB2312" w:hint="eastAsia"/>
          <w:b/>
          <w:color w:val="000000"/>
          <w:kern w:val="0"/>
          <w:sz w:val="24"/>
        </w:rPr>
        <w:t>年收结存数据对比图</w:t>
      </w:r>
    </w:p>
    <w:p w:rsidR="00444BD2" w:rsidRDefault="00D1315C" w:rsidP="00317895">
      <w:pPr>
        <w:tabs>
          <w:tab w:val="left" w:pos="854"/>
          <w:tab w:val="center" w:pos="4422"/>
        </w:tabs>
        <w:spacing w:beforeLines="100" w:afterLines="50" w:line="420" w:lineRule="exact"/>
        <w:rPr>
          <w:rFonts w:ascii="黑体" w:eastAsia="黑体"/>
          <w:color w:val="000000"/>
          <w:spacing w:val="-4"/>
          <w:sz w:val="32"/>
          <w:szCs w:val="32"/>
        </w:rPr>
      </w:pPr>
      <w:r w:rsidRPr="00D131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5" o:spid="_x0000_s1028" type="#_x0000_t75" style="position:absolute;left:0;text-align:left;margin-left:9pt;margin-top:8.1pt;width:423.55pt;height:227.3pt;z-index:-1;visibility:visible">
            <v:imagedata r:id="rId7" o:title=""/>
          </v:shape>
        </w:pict>
      </w:r>
      <w:r w:rsidR="00444BD2">
        <w:rPr>
          <w:rFonts w:eastAsia="黑体"/>
          <w:b/>
          <w:color w:val="000000"/>
          <w:kern w:val="0"/>
          <w:sz w:val="28"/>
          <w:szCs w:val="28"/>
        </w:rPr>
        <w:br w:type="page"/>
      </w:r>
      <w:r w:rsidR="00317895">
        <w:rPr>
          <w:rFonts w:eastAsia="黑体" w:hint="eastAsia"/>
          <w:b/>
          <w:color w:val="000000"/>
          <w:kern w:val="0"/>
          <w:sz w:val="28"/>
          <w:szCs w:val="28"/>
        </w:rPr>
        <w:lastRenderedPageBreak/>
        <w:t>二、</w:t>
      </w:r>
      <w:r w:rsidR="00444BD2">
        <w:rPr>
          <w:rFonts w:ascii="黑体" w:eastAsia="黑体" w:hint="eastAsia"/>
          <w:color w:val="000000"/>
          <w:spacing w:val="-4"/>
          <w:sz w:val="32"/>
          <w:szCs w:val="32"/>
        </w:rPr>
        <w:t>主要案件情况</w:t>
      </w:r>
    </w:p>
    <w:p w:rsidR="00444BD2" w:rsidRPr="00721FE0" w:rsidRDefault="00444BD2" w:rsidP="00317895">
      <w:pPr>
        <w:tabs>
          <w:tab w:val="left" w:pos="854"/>
          <w:tab w:val="center" w:pos="4422"/>
        </w:tabs>
        <w:spacing w:line="520" w:lineRule="exact"/>
        <w:ind w:firstLineChars="200" w:firstLine="624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黑体" w:eastAsia="黑体"/>
          <w:color w:val="000000"/>
          <w:spacing w:val="-4"/>
          <w:sz w:val="32"/>
          <w:szCs w:val="32"/>
        </w:rPr>
        <w:t xml:space="preserve">1. </w:t>
      </w:r>
      <w:r w:rsidRPr="00721FE0">
        <w:rPr>
          <w:rFonts w:ascii="楷体_GB2312" w:eastAsia="楷体_GB2312" w:hint="eastAsia"/>
          <w:b/>
          <w:color w:val="000000"/>
          <w:sz w:val="32"/>
          <w:szCs w:val="32"/>
        </w:rPr>
        <w:t>一审民商事案件</w:t>
      </w:r>
    </w:p>
    <w:p w:rsidR="00444BD2" w:rsidRPr="00664841" w:rsidRDefault="00444BD2" w:rsidP="00317895">
      <w:pPr>
        <w:spacing w:line="520" w:lineRule="exact"/>
        <w:ind w:firstLineChars="200" w:firstLine="640"/>
        <w:rPr>
          <w:rFonts w:ascii="仿宋_GB2312" w:eastAsia="仿宋_GB2312"/>
          <w:color w:val="000000"/>
          <w:spacing w:val="-4"/>
          <w:kern w:val="0"/>
          <w:sz w:val="32"/>
          <w:szCs w:val="32"/>
        </w:rPr>
      </w:pPr>
      <w:r w:rsidRPr="008C41F2">
        <w:rPr>
          <w:rFonts w:ascii="仿宋_GB2312" w:eastAsia="仿宋_GB2312"/>
          <w:color w:val="000000"/>
          <w:sz w:val="32"/>
          <w:szCs w:val="32"/>
        </w:rPr>
        <w:t>2</w:t>
      </w:r>
      <w:r w:rsidRPr="007D6730">
        <w:rPr>
          <w:rFonts w:ascii="仿宋_GB2312" w:eastAsia="仿宋_GB2312"/>
          <w:color w:val="000000"/>
          <w:sz w:val="32"/>
          <w:szCs w:val="32"/>
        </w:rPr>
        <w:t>01</w:t>
      </w:r>
      <w:r w:rsidRPr="007D6730">
        <w:rPr>
          <w:rFonts w:ascii="仿宋_GB2312" w:eastAsia="仿宋_GB2312"/>
          <w:color w:val="000000"/>
          <w:kern w:val="0"/>
          <w:sz w:val="32"/>
          <w:szCs w:val="32"/>
        </w:rPr>
        <w:t>9</w:t>
      </w:r>
      <w:r w:rsidRPr="007D6730">
        <w:rPr>
          <w:rFonts w:ascii="仿宋_GB2312" w:eastAsia="仿宋_GB2312" w:hint="eastAsia"/>
          <w:color w:val="000000"/>
          <w:kern w:val="0"/>
          <w:sz w:val="32"/>
          <w:szCs w:val="32"/>
        </w:rPr>
        <w:t>年，新收一</w:t>
      </w:r>
      <w:r w:rsidRPr="007D6730">
        <w:rPr>
          <w:rFonts w:ascii="仿宋_GB2312" w:eastAsia="仿宋_GB2312" w:hint="eastAsia"/>
          <w:color w:val="000000"/>
          <w:sz w:val="32"/>
          <w:szCs w:val="32"/>
        </w:rPr>
        <w:t>审民商事案件数</w:t>
      </w:r>
      <w:r w:rsidRPr="007D6730">
        <w:rPr>
          <w:rFonts w:ascii="仿宋_GB2312" w:eastAsia="仿宋_GB2312"/>
          <w:color w:val="000000"/>
          <w:sz w:val="32"/>
          <w:szCs w:val="32"/>
        </w:rPr>
        <w:t>4652</w:t>
      </w:r>
      <w:r w:rsidRPr="007D6730">
        <w:rPr>
          <w:rFonts w:ascii="仿宋_GB2312" w:eastAsia="仿宋_GB2312" w:hint="eastAsia"/>
          <w:color w:val="000000"/>
          <w:sz w:val="32"/>
          <w:szCs w:val="32"/>
        </w:rPr>
        <w:t>件，居全市基层法院</w:t>
      </w:r>
      <w:r w:rsidRPr="00664841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664841">
        <w:rPr>
          <w:rFonts w:ascii="仿宋_GB2312" w:eastAsia="仿宋_GB2312"/>
          <w:color w:val="000000"/>
          <w:sz w:val="32"/>
          <w:szCs w:val="32"/>
        </w:rPr>
        <w:t>4</w:t>
      </w:r>
      <w:r w:rsidRPr="00664841">
        <w:rPr>
          <w:rFonts w:ascii="仿宋_GB2312" w:eastAsia="仿宋_GB2312" w:hint="eastAsia"/>
          <w:color w:val="000000"/>
          <w:spacing w:val="-6"/>
          <w:sz w:val="32"/>
          <w:szCs w:val="32"/>
        </w:rPr>
        <w:t>位，</w:t>
      </w:r>
      <w:r w:rsidRPr="00664841">
        <w:rPr>
          <w:rFonts w:ascii="仿宋_GB2312" w:eastAsia="仿宋_GB2312" w:hint="eastAsia"/>
          <w:color w:val="000000"/>
          <w:sz w:val="32"/>
          <w:szCs w:val="32"/>
        </w:rPr>
        <w:t>同比下降</w:t>
      </w:r>
      <w:r w:rsidRPr="00664841">
        <w:rPr>
          <w:rFonts w:ascii="仿宋_GB2312" w:eastAsia="仿宋_GB2312"/>
          <w:color w:val="000000"/>
          <w:sz w:val="32"/>
          <w:szCs w:val="32"/>
        </w:rPr>
        <w:t>16.6%</w:t>
      </w:r>
      <w:r w:rsidRPr="00664841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664841">
        <w:rPr>
          <w:rFonts w:ascii="仿宋_GB2312" w:eastAsia="仿宋_GB2312"/>
          <w:color w:val="000000"/>
          <w:sz w:val="32"/>
          <w:szCs w:val="32"/>
        </w:rPr>
        <w:t>2018</w:t>
      </w:r>
      <w:r w:rsidRPr="00664841">
        <w:rPr>
          <w:rFonts w:ascii="仿宋_GB2312" w:eastAsia="仿宋_GB2312" w:hint="eastAsia"/>
          <w:color w:val="000000"/>
          <w:sz w:val="32"/>
          <w:szCs w:val="32"/>
        </w:rPr>
        <w:t>年同比下降</w:t>
      </w:r>
      <w:r w:rsidRPr="00664841">
        <w:rPr>
          <w:rFonts w:ascii="仿宋_GB2312" w:eastAsia="仿宋_GB2312"/>
          <w:color w:val="000000"/>
          <w:sz w:val="32"/>
          <w:szCs w:val="32"/>
        </w:rPr>
        <w:t>10.03%</w:t>
      </w:r>
      <w:r w:rsidRPr="00664841">
        <w:rPr>
          <w:rFonts w:ascii="仿宋_GB2312" w:eastAsia="仿宋_GB2312" w:hint="eastAsia"/>
          <w:color w:val="000000"/>
          <w:sz w:val="32"/>
          <w:szCs w:val="32"/>
        </w:rPr>
        <w:t>），</w:t>
      </w:r>
      <w:r w:rsidRPr="00664841">
        <w:rPr>
          <w:rFonts w:eastAsia="仿宋_GB2312" w:cs="仿宋_GB2312" w:hint="eastAsia"/>
          <w:color w:val="000000"/>
          <w:spacing w:val="-4"/>
          <w:sz w:val="32"/>
          <w:szCs w:val="32"/>
        </w:rPr>
        <w:t>增幅下</w:t>
      </w:r>
      <w:r w:rsidRPr="00664841">
        <w:rPr>
          <w:rFonts w:ascii="仿宋_GB2312" w:eastAsia="仿宋_GB2312" w:cs="仿宋_GB2312" w:hint="eastAsia"/>
          <w:color w:val="000000"/>
          <w:spacing w:val="-4"/>
          <w:sz w:val="32"/>
          <w:szCs w:val="32"/>
        </w:rPr>
        <w:t>降</w:t>
      </w:r>
      <w:r w:rsidRPr="00664841">
        <w:rPr>
          <w:rFonts w:ascii="仿宋_GB2312" w:eastAsia="仿宋_GB2312" w:cs="仿宋_GB2312"/>
          <w:color w:val="000000"/>
          <w:spacing w:val="-4"/>
          <w:sz w:val="32"/>
          <w:szCs w:val="32"/>
        </w:rPr>
        <w:t>6.57</w:t>
      </w:r>
      <w:r w:rsidRPr="00664841">
        <w:rPr>
          <w:rFonts w:ascii="仿宋_GB2312" w:eastAsia="仿宋_GB2312" w:cs="仿宋_GB2312" w:hint="eastAsia"/>
          <w:color w:val="000000"/>
          <w:spacing w:val="-4"/>
          <w:sz w:val="32"/>
          <w:szCs w:val="32"/>
        </w:rPr>
        <w:t>个</w:t>
      </w:r>
      <w:r w:rsidRPr="00664841">
        <w:rPr>
          <w:rFonts w:eastAsia="仿宋_GB2312" w:cs="仿宋_GB2312" w:hint="eastAsia"/>
          <w:color w:val="000000"/>
          <w:spacing w:val="-4"/>
          <w:sz w:val="32"/>
          <w:szCs w:val="32"/>
        </w:rPr>
        <w:t>百分点</w:t>
      </w:r>
      <w:r w:rsidRPr="00664841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。结案</w:t>
      </w:r>
      <w:r w:rsidRPr="00664841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4713</w:t>
      </w:r>
      <w:r w:rsidRPr="00664841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 w:rsidRPr="00664841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15.05%</w:t>
      </w:r>
      <w:r w:rsidRPr="00664841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，未结案</w:t>
      </w:r>
      <w:r w:rsidRPr="00664841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332</w:t>
      </w:r>
      <w:r w:rsidRPr="00664841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 w:rsidRPr="00664841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15.52%</w:t>
      </w:r>
      <w:r w:rsidRPr="00664841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444BD2" w:rsidRPr="002028C8" w:rsidRDefault="00444BD2" w:rsidP="00317895">
      <w:pPr>
        <w:tabs>
          <w:tab w:val="left" w:pos="854"/>
          <w:tab w:val="center" w:pos="4422"/>
        </w:tabs>
        <w:spacing w:beforeLines="100" w:afterLines="5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  <w:r w:rsidRPr="008773E8">
        <w:rPr>
          <w:rFonts w:ascii="楷体_GB2312" w:eastAsia="楷体_GB2312" w:hint="eastAsia"/>
          <w:b/>
          <w:color w:val="000000"/>
          <w:kern w:val="0"/>
          <w:sz w:val="24"/>
        </w:rPr>
        <w:t>表三</w:t>
      </w:r>
      <w:r w:rsidRPr="00CC3C11">
        <w:rPr>
          <w:rFonts w:ascii="楷体_GB2312" w:eastAsia="楷体_GB2312" w:hint="eastAsia"/>
          <w:b/>
          <w:color w:val="000000"/>
          <w:kern w:val="0"/>
          <w:sz w:val="24"/>
        </w:rPr>
        <w:t>、</w:t>
      </w:r>
      <w:r w:rsidRPr="002028C8">
        <w:rPr>
          <w:rFonts w:ascii="楷体_GB2312" w:eastAsia="楷体_GB2312" w:hint="eastAsia"/>
          <w:b/>
          <w:color w:val="000000"/>
          <w:kern w:val="0"/>
          <w:sz w:val="24"/>
        </w:rPr>
        <w:t>我院民商事案件主要收案类型</w:t>
      </w:r>
    </w:p>
    <w:tbl>
      <w:tblPr>
        <w:tblW w:w="4028" w:type="pct"/>
        <w:jc w:val="center"/>
        <w:tblLook w:val="00A0"/>
      </w:tblPr>
      <w:tblGrid>
        <w:gridCol w:w="3415"/>
        <w:gridCol w:w="1557"/>
        <w:gridCol w:w="2464"/>
      </w:tblGrid>
      <w:tr w:rsidR="00444BD2" w:rsidRPr="00CC3C11" w:rsidTr="000B0C45">
        <w:trPr>
          <w:trHeight w:val="420"/>
          <w:tblHeader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CC3C11" w:rsidRDefault="00444BD2" w:rsidP="000035DB">
            <w:pPr>
              <w:widowControl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 w:rsidRPr="00CC3C11"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案件类型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CC3C11" w:rsidRDefault="00444BD2" w:rsidP="000035DB">
            <w:pPr>
              <w:widowControl/>
              <w:jc w:val="center"/>
              <w:rPr>
                <w:rFonts w:ascii="黑体" w:eastAsia="黑体" w:hAnsi="宋体" w:cs="Arial"/>
                <w:color w:val="000000"/>
                <w:kern w:val="0"/>
                <w:sz w:val="24"/>
              </w:rPr>
            </w:pPr>
            <w:r w:rsidRPr="00CC3C11">
              <w:rPr>
                <w:rFonts w:ascii="黑体" w:eastAsia="黑体" w:hAnsi="宋体" w:cs="Arial" w:hint="eastAsia"/>
                <w:color w:val="000000"/>
                <w:kern w:val="0"/>
                <w:sz w:val="24"/>
              </w:rPr>
              <w:t>件数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CC3C11" w:rsidRDefault="00444BD2" w:rsidP="000035DB">
            <w:pPr>
              <w:widowControl/>
              <w:jc w:val="center"/>
              <w:rPr>
                <w:rFonts w:ascii="黑体" w:eastAsia="黑体" w:hAnsi="Arial" w:cs="Arial"/>
                <w:color w:val="000000"/>
                <w:kern w:val="0"/>
                <w:sz w:val="24"/>
              </w:rPr>
            </w:pPr>
            <w:r w:rsidRPr="00CC3C11"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同比（</w:t>
            </w:r>
            <w:r w:rsidRPr="00CC3C11">
              <w:rPr>
                <w:rFonts w:ascii="黑体" w:eastAsia="黑体" w:hAnsi="Arial" w:cs="Arial"/>
                <w:color w:val="000000"/>
                <w:kern w:val="0"/>
                <w:sz w:val="24"/>
              </w:rPr>
              <w:t>%</w:t>
            </w:r>
            <w:r w:rsidRPr="00CC3C11">
              <w:rPr>
                <w:rFonts w:ascii="黑体" w:eastAsia="黑体" w:hAnsi="Arial" w:cs="Arial" w:hint="eastAsia"/>
                <w:color w:val="000000"/>
                <w:kern w:val="0"/>
                <w:sz w:val="24"/>
              </w:rPr>
              <w:t>）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民间借贷纠纷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1252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-31.55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买卖合同纠纷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-1.82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离婚纠纷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-4.99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金融借款合同纠纷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-11.38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机动车交通事故责任纠纷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-25.73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jc w:val="center"/>
              <w:rPr>
                <w:rFonts w:ascii="仿宋_GB2312" w:eastAsia="仿宋_GB2312" w:cs="Arial"/>
                <w:szCs w:val="21"/>
              </w:rPr>
            </w:pPr>
            <w:r w:rsidRPr="007D6730">
              <w:rPr>
                <w:rFonts w:ascii="仿宋_GB2312" w:eastAsia="仿宋_GB2312" w:cs="Arial" w:hint="eastAsia"/>
                <w:szCs w:val="21"/>
              </w:rPr>
              <w:t>承揽合同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7D6730">
              <w:rPr>
                <w:rFonts w:ascii="仿宋_GB2312" w:eastAsia="仿宋_GB2312" w:hAnsi="Arial" w:cs="Arial"/>
                <w:szCs w:val="21"/>
              </w:rPr>
              <w:t>112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49.8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jc w:val="center"/>
              <w:rPr>
                <w:rFonts w:ascii="仿宋_GB2312" w:eastAsia="仿宋_GB2312" w:cs="Arial"/>
                <w:szCs w:val="21"/>
              </w:rPr>
            </w:pPr>
            <w:r w:rsidRPr="007D6730">
              <w:rPr>
                <w:rFonts w:ascii="仿宋_GB2312" w:eastAsia="仿宋_GB2312" w:cs="Arial" w:hint="eastAsia"/>
                <w:szCs w:val="21"/>
              </w:rPr>
              <w:t>健康权身体权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jc w:val="center"/>
              <w:rPr>
                <w:rFonts w:ascii="仿宋_GB2312" w:eastAsia="仿宋_GB2312" w:hAnsi="Arial" w:cs="Arial"/>
                <w:szCs w:val="21"/>
              </w:rPr>
            </w:pPr>
            <w:r w:rsidRPr="007D6730">
              <w:rPr>
                <w:rFonts w:ascii="仿宋_GB2312" w:eastAsia="仿宋_GB2312" w:hAnsi="Arial" w:cs="Arial"/>
                <w:szCs w:val="21"/>
              </w:rPr>
              <w:t>90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-1.1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劳务合同纠纷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-34.33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物权纠纷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-8.7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劳动争议、人事争议案件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-54.49</w:t>
            </w:r>
          </w:p>
        </w:tc>
      </w:tr>
      <w:tr w:rsidR="00444BD2" w:rsidRPr="00286AFC" w:rsidTr="000B0C45">
        <w:trPr>
          <w:trHeight w:val="420"/>
          <w:jc w:val="center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建设工程合同纠纷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BD2" w:rsidRPr="007D6730" w:rsidRDefault="00444BD2" w:rsidP="000035DB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7D6730"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-7.46</w:t>
            </w:r>
          </w:p>
        </w:tc>
      </w:tr>
    </w:tbl>
    <w:p w:rsidR="00444BD2" w:rsidRPr="00291DA3" w:rsidRDefault="00444BD2" w:rsidP="00317895">
      <w:pPr>
        <w:spacing w:beforeLines="35" w:line="526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2. 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刑事案件</w:t>
      </w:r>
    </w:p>
    <w:p w:rsidR="00444BD2" w:rsidRPr="002F67EE" w:rsidRDefault="00444BD2" w:rsidP="00317895">
      <w:pPr>
        <w:spacing w:line="526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291DA3">
        <w:rPr>
          <w:rFonts w:ascii="仿宋_GB2312" w:eastAsia="仿宋_GB2312"/>
          <w:color w:val="000000"/>
          <w:sz w:val="32"/>
          <w:szCs w:val="32"/>
        </w:rPr>
        <w:t>2019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年新收刑事案件</w:t>
      </w:r>
      <w:r>
        <w:rPr>
          <w:rFonts w:ascii="仿宋_GB2312" w:eastAsia="仿宋_GB2312"/>
          <w:color w:val="000000"/>
          <w:sz w:val="32"/>
          <w:szCs w:val="32"/>
        </w:rPr>
        <w:t>464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件（不含刑罚变更），</w:t>
      </w:r>
      <w:r>
        <w:rPr>
          <w:rFonts w:ascii="仿宋_GB2312" w:eastAsia="仿宋_GB2312" w:hint="eastAsia"/>
          <w:color w:val="000000"/>
          <w:sz w:val="32"/>
          <w:szCs w:val="32"/>
        </w:rPr>
        <w:t>居市基层法院第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位，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同比上升</w:t>
      </w:r>
      <w:r>
        <w:rPr>
          <w:rFonts w:ascii="仿宋_GB2312" w:eastAsia="仿宋_GB2312"/>
          <w:color w:val="000000"/>
          <w:sz w:val="32"/>
          <w:szCs w:val="32"/>
        </w:rPr>
        <w:t>11.81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 w:rsidRPr="0062013A">
        <w:rPr>
          <w:rFonts w:ascii="仿宋_GB2312" w:eastAsia="仿宋_GB2312"/>
          <w:color w:val="000000"/>
          <w:sz w:val="32"/>
          <w:szCs w:val="32"/>
        </w:rPr>
        <w:t>446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件，居全市基层法院第</w:t>
      </w:r>
      <w:r w:rsidRPr="0062013A">
        <w:rPr>
          <w:rFonts w:ascii="仿宋_GB2312" w:eastAsia="仿宋_GB2312"/>
          <w:color w:val="000000"/>
          <w:sz w:val="32"/>
          <w:szCs w:val="32"/>
        </w:rPr>
        <w:t>2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位，同比上升</w:t>
      </w:r>
      <w:r w:rsidRPr="0062013A">
        <w:rPr>
          <w:rFonts w:ascii="仿宋_GB2312" w:eastAsia="仿宋_GB2312"/>
          <w:color w:val="000000"/>
          <w:sz w:val="32"/>
          <w:szCs w:val="32"/>
        </w:rPr>
        <w:t>2.76%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，未结案</w:t>
      </w:r>
      <w:r w:rsidRPr="0062013A">
        <w:rPr>
          <w:rFonts w:ascii="仿宋_GB2312" w:eastAsia="仿宋_GB2312"/>
          <w:color w:val="000000"/>
          <w:sz w:val="32"/>
          <w:szCs w:val="32"/>
        </w:rPr>
        <w:t>37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件，同比上升</w:t>
      </w:r>
      <w:r w:rsidRPr="0062013A">
        <w:rPr>
          <w:rFonts w:ascii="仿宋_GB2312" w:eastAsia="仿宋_GB2312"/>
          <w:color w:val="000000"/>
          <w:sz w:val="32"/>
          <w:szCs w:val="32"/>
        </w:rPr>
        <w:t>94.74%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同期结案率</w:t>
      </w:r>
      <w:r>
        <w:rPr>
          <w:rFonts w:ascii="仿宋_GB2312" w:eastAsia="仿宋_GB2312"/>
          <w:color w:val="000000"/>
          <w:sz w:val="32"/>
          <w:szCs w:val="32"/>
        </w:rPr>
        <w:t>96.12%</w:t>
      </w:r>
      <w:r>
        <w:rPr>
          <w:rFonts w:ascii="仿宋_GB2312" w:eastAsia="仿宋_GB2312" w:hint="eastAsia"/>
          <w:color w:val="000000"/>
          <w:sz w:val="32"/>
          <w:szCs w:val="32"/>
        </w:rPr>
        <w:t>，居全市基层法院</w:t>
      </w:r>
      <w:r w:rsidRPr="00475968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475968">
        <w:rPr>
          <w:rFonts w:ascii="仿宋_GB2312" w:eastAsia="仿宋_GB2312"/>
          <w:color w:val="000000"/>
          <w:sz w:val="32"/>
          <w:szCs w:val="32"/>
        </w:rPr>
        <w:t>5</w:t>
      </w:r>
      <w:r w:rsidRPr="00475968">
        <w:rPr>
          <w:rFonts w:ascii="仿宋_GB2312" w:eastAsia="仿宋_GB2312" w:hint="eastAsia"/>
          <w:color w:val="000000"/>
          <w:sz w:val="32"/>
          <w:szCs w:val="32"/>
        </w:rPr>
        <w:t>位，</w:t>
      </w:r>
      <w:r>
        <w:rPr>
          <w:rFonts w:ascii="仿宋_GB2312" w:eastAsia="仿宋_GB2312" w:hint="eastAsia"/>
          <w:color w:val="000000"/>
          <w:sz w:val="32"/>
          <w:szCs w:val="32"/>
        </w:rPr>
        <w:t>同比下降</w:t>
      </w:r>
      <w:r>
        <w:rPr>
          <w:rFonts w:ascii="仿宋_GB2312" w:eastAsia="仿宋_GB2312"/>
          <w:color w:val="000000"/>
          <w:sz w:val="32"/>
          <w:szCs w:val="32"/>
        </w:rPr>
        <w:t>8.45%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4BD2" w:rsidRPr="00291DA3" w:rsidRDefault="00444BD2" w:rsidP="00317895">
      <w:pPr>
        <w:spacing w:line="526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3. 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破产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清算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案件</w:t>
      </w:r>
    </w:p>
    <w:p w:rsidR="00444BD2" w:rsidRPr="00F02A56" w:rsidRDefault="00444BD2" w:rsidP="00317895">
      <w:pPr>
        <w:spacing w:line="52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1DA3">
        <w:rPr>
          <w:rFonts w:ascii="仿宋_GB2312" w:eastAsia="仿宋_GB2312"/>
          <w:color w:val="000000"/>
          <w:sz w:val="32"/>
          <w:szCs w:val="32"/>
        </w:rPr>
        <w:t>2019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1-12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，新收破产</w:t>
      </w:r>
      <w:r>
        <w:rPr>
          <w:rFonts w:ascii="仿宋_GB2312" w:eastAsia="仿宋_GB2312" w:hint="eastAsia"/>
          <w:color w:val="000000"/>
          <w:sz w:val="32"/>
          <w:szCs w:val="32"/>
        </w:rPr>
        <w:t>清算案件</w:t>
      </w:r>
      <w:r>
        <w:rPr>
          <w:rFonts w:ascii="仿宋_GB2312" w:eastAsia="仿宋_GB2312"/>
          <w:color w:val="000000"/>
          <w:sz w:val="32"/>
          <w:szCs w:val="32"/>
        </w:rPr>
        <w:t>66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上升</w:t>
      </w:r>
      <w:r>
        <w:rPr>
          <w:rFonts w:ascii="仿宋_GB2312" w:eastAsia="仿宋_GB2312"/>
          <w:color w:val="000000"/>
          <w:sz w:val="32"/>
          <w:szCs w:val="32"/>
        </w:rPr>
        <w:t>57.14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其中破产</w:t>
      </w:r>
      <w:r>
        <w:rPr>
          <w:rFonts w:ascii="仿宋_GB2312" w:eastAsia="仿宋_GB2312"/>
          <w:color w:val="000000"/>
          <w:sz w:val="32"/>
          <w:szCs w:val="32"/>
        </w:rPr>
        <w:t>42</w:t>
      </w:r>
      <w:r>
        <w:rPr>
          <w:rFonts w:ascii="仿宋_GB2312" w:eastAsia="仿宋_GB2312" w:hint="eastAsia"/>
          <w:color w:val="000000"/>
          <w:sz w:val="32"/>
          <w:szCs w:val="32"/>
        </w:rPr>
        <w:t>件，破产申请审查</w:t>
      </w:r>
      <w:r>
        <w:rPr>
          <w:rFonts w:ascii="仿宋_GB2312" w:eastAsia="仿宋_GB2312"/>
          <w:color w:val="000000"/>
          <w:sz w:val="32"/>
          <w:szCs w:val="32"/>
        </w:rPr>
        <w:t>24</w:t>
      </w:r>
      <w:r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>
        <w:rPr>
          <w:rFonts w:ascii="仿宋_GB2312" w:eastAsia="仿宋_GB2312"/>
          <w:color w:val="000000"/>
          <w:sz w:val="32"/>
          <w:szCs w:val="32"/>
        </w:rPr>
        <w:t>49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</w:t>
      </w:r>
      <w:r>
        <w:rPr>
          <w:rFonts w:ascii="仿宋_GB2312" w:eastAsia="仿宋_GB2312" w:hint="eastAsia"/>
          <w:color w:val="000000"/>
          <w:sz w:val="32"/>
          <w:szCs w:val="32"/>
        </w:rPr>
        <w:t>同比上升</w:t>
      </w:r>
      <w:r>
        <w:rPr>
          <w:rFonts w:ascii="仿宋_GB2312" w:eastAsia="仿宋_GB2312"/>
          <w:color w:val="000000"/>
          <w:sz w:val="32"/>
          <w:szCs w:val="32"/>
        </w:rPr>
        <w:t>4.26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；未结案</w:t>
      </w:r>
      <w:r>
        <w:rPr>
          <w:rFonts w:ascii="仿宋_GB2312" w:eastAsia="仿宋_GB2312"/>
          <w:color w:val="000000"/>
          <w:sz w:val="32"/>
          <w:szCs w:val="32"/>
        </w:rPr>
        <w:t>22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上升</w:t>
      </w:r>
      <w:r>
        <w:rPr>
          <w:rFonts w:ascii="仿宋_GB2312" w:eastAsia="仿宋_GB2312"/>
          <w:color w:val="000000"/>
          <w:sz w:val="32"/>
          <w:szCs w:val="32"/>
        </w:rPr>
        <w:t>340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206422">
        <w:rPr>
          <w:rFonts w:ascii="仿宋_GB2312" w:eastAsia="仿宋_GB2312" w:hint="eastAsia"/>
          <w:sz w:val="32"/>
          <w:szCs w:val="32"/>
        </w:rPr>
        <w:t>新收“执转破”案件</w:t>
      </w:r>
      <w:r w:rsidRPr="00206422">
        <w:rPr>
          <w:rFonts w:ascii="仿宋_GB2312" w:eastAsia="仿宋_GB2312"/>
          <w:sz w:val="32"/>
          <w:szCs w:val="32"/>
        </w:rPr>
        <w:t>16</w:t>
      </w:r>
      <w:r w:rsidRPr="00206422">
        <w:rPr>
          <w:rFonts w:ascii="仿宋_GB2312" w:eastAsia="仿宋_GB2312" w:hint="eastAsia"/>
          <w:sz w:val="32"/>
          <w:szCs w:val="32"/>
        </w:rPr>
        <w:t>件，</w:t>
      </w:r>
      <w:r w:rsidRPr="00F02A56">
        <w:rPr>
          <w:rFonts w:ascii="仿宋_GB2312" w:eastAsia="仿宋_GB2312" w:hint="eastAsia"/>
          <w:color w:val="000000"/>
          <w:sz w:val="32"/>
          <w:szCs w:val="32"/>
        </w:rPr>
        <w:t>同比下降</w:t>
      </w:r>
      <w:r w:rsidRPr="00F02A56">
        <w:rPr>
          <w:rFonts w:ascii="仿宋_GB2312" w:eastAsia="仿宋_GB2312"/>
          <w:color w:val="000000"/>
          <w:sz w:val="32"/>
          <w:szCs w:val="32"/>
        </w:rPr>
        <w:t>20%</w:t>
      </w:r>
      <w:r w:rsidRPr="00F02A56">
        <w:rPr>
          <w:rFonts w:ascii="仿宋_GB2312" w:eastAsia="仿宋_GB2312" w:hint="eastAsia"/>
          <w:color w:val="000000"/>
          <w:sz w:val="32"/>
          <w:szCs w:val="32"/>
        </w:rPr>
        <w:t>，审结</w:t>
      </w:r>
      <w:r w:rsidRPr="00F02A56">
        <w:rPr>
          <w:rFonts w:ascii="仿宋_GB2312" w:eastAsia="仿宋_GB2312"/>
          <w:color w:val="000000"/>
          <w:sz w:val="32"/>
          <w:szCs w:val="32"/>
        </w:rPr>
        <w:t>16</w:t>
      </w:r>
      <w:r w:rsidRPr="00F02A56">
        <w:rPr>
          <w:rFonts w:ascii="仿宋_GB2312" w:eastAsia="仿宋_GB2312" w:hint="eastAsia"/>
          <w:color w:val="000000"/>
          <w:sz w:val="32"/>
          <w:szCs w:val="32"/>
        </w:rPr>
        <w:t>件，同比下降</w:t>
      </w:r>
      <w:r w:rsidRPr="00F02A56">
        <w:rPr>
          <w:rFonts w:ascii="仿宋_GB2312" w:eastAsia="仿宋_GB2312"/>
          <w:color w:val="000000"/>
          <w:sz w:val="32"/>
          <w:szCs w:val="32"/>
        </w:rPr>
        <w:t>20%</w:t>
      </w:r>
      <w:r w:rsidRPr="00F02A5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4BD2" w:rsidRPr="00291DA3" w:rsidRDefault="00444BD2" w:rsidP="00317895">
      <w:pPr>
        <w:spacing w:line="526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4. 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行政非诉审查案件</w:t>
      </w:r>
    </w:p>
    <w:p w:rsidR="00444BD2" w:rsidRDefault="00444BD2" w:rsidP="00317895">
      <w:pPr>
        <w:spacing w:line="52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1DA3">
        <w:rPr>
          <w:rFonts w:ascii="仿宋_GB2312" w:eastAsia="仿宋_GB2312"/>
          <w:color w:val="000000"/>
          <w:sz w:val="32"/>
          <w:szCs w:val="32"/>
        </w:rPr>
        <w:t>2019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年新收行政非诉审查案件</w:t>
      </w:r>
      <w:r>
        <w:rPr>
          <w:rFonts w:ascii="仿宋_GB2312" w:eastAsia="仿宋_GB2312"/>
          <w:color w:val="000000"/>
          <w:sz w:val="32"/>
          <w:szCs w:val="32"/>
        </w:rPr>
        <w:t>139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/>
          <w:color w:val="000000"/>
          <w:sz w:val="32"/>
          <w:szCs w:val="32"/>
        </w:rPr>
        <w:t>8.55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>
        <w:rPr>
          <w:rFonts w:ascii="仿宋_GB2312" w:eastAsia="仿宋_GB2312"/>
          <w:color w:val="000000"/>
          <w:sz w:val="32"/>
          <w:szCs w:val="32"/>
        </w:rPr>
        <w:t>139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/>
          <w:color w:val="000000"/>
          <w:sz w:val="32"/>
          <w:szCs w:val="32"/>
        </w:rPr>
        <w:t>8.55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；未结案</w:t>
      </w:r>
      <w:r w:rsidRPr="00291DA3">
        <w:rPr>
          <w:rFonts w:ascii="仿宋_GB2312" w:eastAsia="仿宋_GB2312"/>
          <w:color w:val="000000"/>
          <w:sz w:val="32"/>
          <w:szCs w:val="32"/>
        </w:rPr>
        <w:t>0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</w:t>
      </w:r>
      <w:r>
        <w:rPr>
          <w:rFonts w:ascii="仿宋_GB2312" w:eastAsia="仿宋_GB2312" w:hint="eastAsia"/>
          <w:color w:val="000000"/>
          <w:sz w:val="32"/>
          <w:szCs w:val="32"/>
        </w:rPr>
        <w:t>与去年持平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4BD2" w:rsidRPr="007577D9" w:rsidRDefault="00444BD2" w:rsidP="00317895">
      <w:pPr>
        <w:spacing w:line="526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5.</w:t>
      </w:r>
      <w:r w:rsidRPr="007577D9">
        <w:rPr>
          <w:rFonts w:ascii="楷体_GB2312" w:eastAsia="楷体_GB2312" w:hint="eastAsia"/>
          <w:b/>
          <w:color w:val="000000"/>
          <w:sz w:val="32"/>
          <w:szCs w:val="32"/>
        </w:rPr>
        <w:t>民事特别程序案件</w:t>
      </w:r>
    </w:p>
    <w:p w:rsidR="00444BD2" w:rsidRDefault="00444BD2" w:rsidP="00317895">
      <w:pPr>
        <w:spacing w:line="52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1DA3">
        <w:rPr>
          <w:rFonts w:ascii="仿宋_GB2312" w:eastAsia="仿宋_GB2312"/>
          <w:color w:val="000000"/>
          <w:sz w:val="32"/>
          <w:szCs w:val="32"/>
        </w:rPr>
        <w:t>2019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年新收民事特别程序案件</w:t>
      </w:r>
      <w:r>
        <w:rPr>
          <w:rFonts w:ascii="仿宋_GB2312" w:eastAsia="仿宋_GB2312"/>
          <w:color w:val="000000"/>
          <w:sz w:val="32"/>
          <w:szCs w:val="32"/>
        </w:rPr>
        <w:t>653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件，同比上升</w:t>
      </w:r>
      <w:r>
        <w:rPr>
          <w:rFonts w:ascii="仿宋_GB2312" w:eastAsia="仿宋_GB2312"/>
          <w:color w:val="000000"/>
          <w:sz w:val="32"/>
          <w:szCs w:val="32"/>
        </w:rPr>
        <w:t>89.28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>
        <w:rPr>
          <w:rFonts w:ascii="仿宋_GB2312" w:eastAsia="仿宋_GB2312"/>
          <w:color w:val="000000"/>
          <w:sz w:val="32"/>
          <w:szCs w:val="32"/>
        </w:rPr>
        <w:t>645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件，同比上升</w:t>
      </w:r>
      <w:r>
        <w:rPr>
          <w:rFonts w:ascii="仿宋_GB2312" w:eastAsia="仿宋_GB2312"/>
          <w:color w:val="000000"/>
          <w:sz w:val="32"/>
          <w:szCs w:val="32"/>
        </w:rPr>
        <w:t>84.81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；未结案</w:t>
      </w:r>
      <w:r>
        <w:rPr>
          <w:rFonts w:ascii="仿宋_GB2312" w:eastAsia="仿宋_GB2312"/>
          <w:color w:val="000000"/>
          <w:sz w:val="32"/>
          <w:szCs w:val="32"/>
        </w:rPr>
        <w:t>11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上升</w:t>
      </w:r>
      <w:r>
        <w:rPr>
          <w:rFonts w:ascii="仿宋_GB2312" w:eastAsia="仿宋_GB2312"/>
          <w:color w:val="000000"/>
          <w:sz w:val="32"/>
          <w:szCs w:val="32"/>
        </w:rPr>
        <w:t>266.67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4BD2" w:rsidRPr="006722B1" w:rsidRDefault="00444BD2" w:rsidP="00317895">
      <w:pPr>
        <w:spacing w:line="52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6. 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防范和打击</w:t>
      </w:r>
      <w:r w:rsidRPr="006722B1">
        <w:rPr>
          <w:rFonts w:ascii="楷体_GB2312" w:eastAsia="楷体_GB2312" w:hint="eastAsia"/>
          <w:b/>
          <w:color w:val="000000"/>
          <w:sz w:val="32"/>
          <w:szCs w:val="32"/>
        </w:rPr>
        <w:t>虚假诉讼情况</w:t>
      </w:r>
    </w:p>
    <w:p w:rsidR="00444BD2" w:rsidRPr="0013017B" w:rsidRDefault="00444BD2" w:rsidP="00317895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1DA3">
        <w:rPr>
          <w:rFonts w:ascii="仿宋_GB2312" w:eastAsia="仿宋_GB2312"/>
          <w:color w:val="000000"/>
          <w:sz w:val="32"/>
          <w:szCs w:val="32"/>
        </w:rPr>
        <w:t>2019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13017B">
        <w:rPr>
          <w:rFonts w:ascii="仿宋_GB2312" w:eastAsia="仿宋_GB2312" w:hint="eastAsia"/>
          <w:color w:val="000000"/>
          <w:sz w:val="32"/>
          <w:szCs w:val="32"/>
        </w:rPr>
        <w:t>以虚假诉讼罪定罪处罚案件</w:t>
      </w:r>
      <w:r>
        <w:rPr>
          <w:rFonts w:ascii="仿宋_GB2312" w:eastAsia="仿宋_GB2312"/>
          <w:color w:val="000000"/>
          <w:sz w:val="32"/>
          <w:szCs w:val="32"/>
        </w:rPr>
        <w:t xml:space="preserve"> 1</w:t>
      </w:r>
      <w:r>
        <w:rPr>
          <w:rFonts w:ascii="仿宋_GB2312" w:eastAsia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人，因当事人不诚信诉讼行为</w:t>
      </w:r>
      <w:r w:rsidRPr="0013017B">
        <w:rPr>
          <w:rFonts w:ascii="仿宋_GB2312" w:eastAsia="仿宋_GB2312" w:hint="eastAsia"/>
          <w:color w:val="000000"/>
          <w:sz w:val="32"/>
          <w:szCs w:val="32"/>
        </w:rPr>
        <w:t>处以罚款</w:t>
      </w:r>
      <w:r>
        <w:rPr>
          <w:rFonts w:ascii="仿宋_GB2312" w:eastAsia="仿宋_GB2312" w:hint="eastAsia"/>
          <w:color w:val="000000"/>
          <w:sz w:val="32"/>
          <w:szCs w:val="32"/>
        </w:rPr>
        <w:t>案件</w:t>
      </w:r>
      <w:r>
        <w:rPr>
          <w:rFonts w:ascii="仿宋_GB2312" w:eastAsia="仿宋_GB2312"/>
          <w:color w:val="000000"/>
          <w:sz w:val="32"/>
          <w:szCs w:val="32"/>
        </w:rPr>
        <w:t>4</w:t>
      </w:r>
      <w:r w:rsidRPr="0013017B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13017B">
        <w:rPr>
          <w:rFonts w:ascii="仿宋_GB2312" w:eastAsia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人，因涉嫌虚假诉讼罪移送公安案件</w:t>
      </w:r>
      <w:r w:rsidRPr="0013017B">
        <w:rPr>
          <w:rFonts w:ascii="仿宋_GB2312" w:eastAsia="仿宋_GB2312"/>
          <w:color w:val="000000"/>
          <w:sz w:val="32"/>
          <w:szCs w:val="32"/>
        </w:rPr>
        <w:t>5</w:t>
      </w:r>
      <w:r w:rsidRPr="0013017B"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13017B">
        <w:rPr>
          <w:rFonts w:ascii="仿宋_GB2312" w:eastAsia="仿宋_GB2312"/>
          <w:color w:val="000000"/>
          <w:sz w:val="32"/>
          <w:szCs w:val="32"/>
        </w:rPr>
        <w:t>3</w:t>
      </w:r>
      <w:r w:rsidRPr="0013017B"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44BD2" w:rsidRPr="000D76E9" w:rsidRDefault="00444BD2" w:rsidP="00317895">
      <w:pPr>
        <w:spacing w:line="52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 xml:space="preserve">7. </w:t>
      </w:r>
      <w:r w:rsidRPr="000D76E9">
        <w:rPr>
          <w:rFonts w:ascii="楷体_GB2312" w:eastAsia="楷体_GB2312" w:hint="eastAsia"/>
          <w:b/>
          <w:color w:val="000000"/>
          <w:sz w:val="32"/>
          <w:szCs w:val="32"/>
        </w:rPr>
        <w:t>执行制裁违法情况</w:t>
      </w:r>
    </w:p>
    <w:p w:rsidR="00444BD2" w:rsidRPr="00A22928" w:rsidRDefault="00444BD2" w:rsidP="00317895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22928">
        <w:rPr>
          <w:rFonts w:ascii="仿宋_GB2312" w:eastAsia="仿宋_GB2312"/>
          <w:color w:val="000000"/>
          <w:sz w:val="32"/>
          <w:szCs w:val="32"/>
        </w:rPr>
        <w:t>2019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年新收拒不执行生效判决、裁定犯罪案件</w:t>
      </w:r>
      <w:r w:rsidRPr="00A22928">
        <w:rPr>
          <w:rFonts w:ascii="仿宋_GB2312" w:eastAsia="仿宋_GB2312"/>
          <w:color w:val="000000"/>
          <w:sz w:val="32"/>
          <w:szCs w:val="32"/>
        </w:rPr>
        <w:t>0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件，审结</w:t>
      </w:r>
      <w:r w:rsidRPr="00A22928">
        <w:rPr>
          <w:rFonts w:ascii="仿宋_GB2312" w:eastAsia="仿宋_GB2312"/>
          <w:color w:val="000000"/>
          <w:sz w:val="32"/>
          <w:szCs w:val="32"/>
        </w:rPr>
        <w:t>1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件</w:t>
      </w:r>
      <w:r w:rsidRPr="00A22928">
        <w:rPr>
          <w:rFonts w:ascii="仿宋_GB2312" w:eastAsia="仿宋_GB2312"/>
          <w:color w:val="000000"/>
          <w:sz w:val="32"/>
          <w:szCs w:val="32"/>
        </w:rPr>
        <w:t>1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人。执行案件共拘留</w:t>
      </w:r>
      <w:r w:rsidRPr="00A22928">
        <w:rPr>
          <w:rFonts w:ascii="仿宋_GB2312" w:eastAsia="仿宋_GB2312"/>
          <w:color w:val="000000"/>
          <w:sz w:val="32"/>
          <w:szCs w:val="32"/>
        </w:rPr>
        <w:t>145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人，罚款</w:t>
      </w:r>
      <w:r w:rsidRPr="00A22928">
        <w:rPr>
          <w:rFonts w:ascii="仿宋_GB2312" w:eastAsia="仿宋_GB2312"/>
          <w:color w:val="000000"/>
          <w:sz w:val="32"/>
          <w:szCs w:val="32"/>
        </w:rPr>
        <w:t>1589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次，追究刑事责任</w:t>
      </w:r>
      <w:r w:rsidRPr="00A22928">
        <w:rPr>
          <w:rFonts w:ascii="仿宋_GB2312" w:eastAsia="仿宋_GB2312"/>
          <w:color w:val="000000"/>
          <w:sz w:val="32"/>
          <w:szCs w:val="32"/>
        </w:rPr>
        <w:t>0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件。执行制裁违法率</w:t>
      </w:r>
      <w:r w:rsidRPr="00A22928">
        <w:rPr>
          <w:rFonts w:ascii="仿宋_GB2312" w:eastAsia="仿宋_GB2312"/>
          <w:color w:val="000000"/>
          <w:sz w:val="32"/>
          <w:szCs w:val="32"/>
        </w:rPr>
        <w:t>40.87%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，同比上升</w:t>
      </w:r>
      <w:r w:rsidRPr="00A22928">
        <w:rPr>
          <w:rFonts w:ascii="仿宋_GB2312" w:eastAsia="仿宋_GB2312"/>
          <w:color w:val="000000"/>
          <w:sz w:val="32"/>
          <w:szCs w:val="32"/>
        </w:rPr>
        <w:t>31.22</w:t>
      </w:r>
      <w:r>
        <w:rPr>
          <w:rFonts w:ascii="仿宋_GB2312" w:eastAsia="仿宋_GB2312" w:hint="eastAsia"/>
          <w:color w:val="000000"/>
          <w:sz w:val="32"/>
          <w:szCs w:val="32"/>
        </w:rPr>
        <w:t>个百分点，居全市基层法院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第</w:t>
      </w:r>
      <w:r w:rsidRPr="0062013A">
        <w:rPr>
          <w:rFonts w:ascii="仿宋_GB2312" w:eastAsia="仿宋_GB2312"/>
          <w:color w:val="000000"/>
          <w:sz w:val="32"/>
          <w:szCs w:val="32"/>
        </w:rPr>
        <w:t>4</w:t>
      </w:r>
      <w:r w:rsidRPr="0062013A">
        <w:rPr>
          <w:rFonts w:ascii="仿宋_GB2312" w:eastAsia="仿宋_GB2312" w:hint="eastAsia"/>
          <w:color w:val="000000"/>
          <w:sz w:val="32"/>
          <w:szCs w:val="32"/>
        </w:rPr>
        <w:t>位</w:t>
      </w:r>
      <w:r w:rsidRPr="00A22928">
        <w:rPr>
          <w:rFonts w:ascii="仿宋_GB2312" w:eastAsia="仿宋_GB2312" w:hint="eastAsia"/>
          <w:color w:val="000000"/>
          <w:sz w:val="32"/>
          <w:szCs w:val="32"/>
        </w:rPr>
        <w:t>。</w:t>
      </w:r>
    </w:p>
    <w:sectPr w:rsidR="00444BD2" w:rsidRPr="00A22928" w:rsidSect="00CC3C11">
      <w:footerReference w:type="even" r:id="rId8"/>
      <w:footerReference w:type="default" r:id="rId9"/>
      <w:pgSz w:w="11906" w:h="16838" w:code="9"/>
      <w:pgMar w:top="1871" w:right="1418" w:bottom="1588" w:left="1474" w:header="851" w:footer="1418" w:gutter="0"/>
      <w:cols w:space="425"/>
      <w:docGrid w:linePitch="313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811" w:rsidRDefault="00974811" w:rsidP="00826BF3">
      <w:r>
        <w:separator/>
      </w:r>
    </w:p>
  </w:endnote>
  <w:endnote w:type="continuationSeparator" w:id="1">
    <w:p w:rsidR="00974811" w:rsidRDefault="00974811" w:rsidP="00826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D2" w:rsidRDefault="00D1315C" w:rsidP="00CC3C11">
    <w:pPr>
      <w:pStyle w:val="a4"/>
      <w:framePr w:w="725" w:wrap="around" w:vAnchor="text" w:hAnchor="margin" w:xAlign="outside" w:y="-2"/>
      <w:jc w:val="center"/>
      <w:rPr>
        <w:rStyle w:val="a6"/>
      </w:rPr>
    </w:pPr>
    <w:r>
      <w:rPr>
        <w:rStyle w:val="a6"/>
      </w:rPr>
      <w:fldChar w:fldCharType="begin"/>
    </w:r>
    <w:r w:rsidR="00444B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8C2">
      <w:rPr>
        <w:rStyle w:val="a6"/>
        <w:noProof/>
      </w:rPr>
      <w:t>2</w:t>
    </w:r>
    <w:r>
      <w:rPr>
        <w:rStyle w:val="a6"/>
      </w:rPr>
      <w:fldChar w:fldCharType="end"/>
    </w:r>
  </w:p>
  <w:p w:rsidR="00444BD2" w:rsidRDefault="00444BD2" w:rsidP="001E464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D2" w:rsidRDefault="00D1315C" w:rsidP="00CC3C11">
    <w:pPr>
      <w:pStyle w:val="a4"/>
      <w:framePr w:w="717" w:wrap="around" w:vAnchor="text" w:hAnchor="page" w:x="9755" w:y="-2"/>
      <w:jc w:val="center"/>
      <w:rPr>
        <w:rStyle w:val="a6"/>
      </w:rPr>
    </w:pPr>
    <w:r>
      <w:rPr>
        <w:rStyle w:val="a6"/>
      </w:rPr>
      <w:fldChar w:fldCharType="begin"/>
    </w:r>
    <w:r w:rsidR="00444B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8C2">
      <w:rPr>
        <w:rStyle w:val="a6"/>
        <w:noProof/>
      </w:rPr>
      <w:t>3</w:t>
    </w:r>
    <w:r>
      <w:rPr>
        <w:rStyle w:val="a6"/>
      </w:rPr>
      <w:fldChar w:fldCharType="end"/>
    </w:r>
  </w:p>
  <w:p w:rsidR="00444BD2" w:rsidRDefault="00444BD2" w:rsidP="00CC3C11">
    <w:pPr>
      <w:pStyle w:val="a4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811" w:rsidRDefault="00974811" w:rsidP="00826BF3">
      <w:r>
        <w:separator/>
      </w:r>
    </w:p>
  </w:footnote>
  <w:footnote w:type="continuationSeparator" w:id="1">
    <w:p w:rsidR="00974811" w:rsidRDefault="00974811" w:rsidP="00826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659D"/>
    <w:multiLevelType w:val="hybridMultilevel"/>
    <w:tmpl w:val="F01AA5D0"/>
    <w:lvl w:ilvl="0" w:tplc="48B22B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DE6972"/>
    <w:multiLevelType w:val="hybridMultilevel"/>
    <w:tmpl w:val="70968D2E"/>
    <w:lvl w:ilvl="0" w:tplc="915C021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8C20F6D"/>
    <w:multiLevelType w:val="hybridMultilevel"/>
    <w:tmpl w:val="FC7A8A0A"/>
    <w:lvl w:ilvl="0" w:tplc="CDE8D2BC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3">
    <w:nsid w:val="4B525D14"/>
    <w:multiLevelType w:val="hybridMultilevel"/>
    <w:tmpl w:val="D2687388"/>
    <w:lvl w:ilvl="0" w:tplc="BCFA3C9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4">
    <w:nsid w:val="5B5B00B2"/>
    <w:multiLevelType w:val="hybridMultilevel"/>
    <w:tmpl w:val="AB462E0C"/>
    <w:lvl w:ilvl="0" w:tplc="5384643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D62"/>
    <w:rsid w:val="00001876"/>
    <w:rsid w:val="0000316E"/>
    <w:rsid w:val="000035DB"/>
    <w:rsid w:val="00005DC2"/>
    <w:rsid w:val="000111F8"/>
    <w:rsid w:val="00013EAD"/>
    <w:rsid w:val="000157AE"/>
    <w:rsid w:val="0002745B"/>
    <w:rsid w:val="00035345"/>
    <w:rsid w:val="00047F76"/>
    <w:rsid w:val="000508C1"/>
    <w:rsid w:val="000511CB"/>
    <w:rsid w:val="00060734"/>
    <w:rsid w:val="0006518C"/>
    <w:rsid w:val="00073176"/>
    <w:rsid w:val="00074AF9"/>
    <w:rsid w:val="00080790"/>
    <w:rsid w:val="00082E47"/>
    <w:rsid w:val="000839E7"/>
    <w:rsid w:val="00090719"/>
    <w:rsid w:val="0009076F"/>
    <w:rsid w:val="00095361"/>
    <w:rsid w:val="00097228"/>
    <w:rsid w:val="000A1221"/>
    <w:rsid w:val="000B0C45"/>
    <w:rsid w:val="000B1548"/>
    <w:rsid w:val="000B65AD"/>
    <w:rsid w:val="000C4095"/>
    <w:rsid w:val="000C5A52"/>
    <w:rsid w:val="000D76E9"/>
    <w:rsid w:val="00103CF5"/>
    <w:rsid w:val="00105879"/>
    <w:rsid w:val="00114326"/>
    <w:rsid w:val="00117853"/>
    <w:rsid w:val="0013017B"/>
    <w:rsid w:val="001405A9"/>
    <w:rsid w:val="00140AC2"/>
    <w:rsid w:val="00146B3C"/>
    <w:rsid w:val="0015063C"/>
    <w:rsid w:val="00180B7A"/>
    <w:rsid w:val="00187568"/>
    <w:rsid w:val="001878E6"/>
    <w:rsid w:val="00190B8D"/>
    <w:rsid w:val="001A090A"/>
    <w:rsid w:val="001A2DAA"/>
    <w:rsid w:val="001A7CC5"/>
    <w:rsid w:val="001B2AB0"/>
    <w:rsid w:val="001B4762"/>
    <w:rsid w:val="001B7131"/>
    <w:rsid w:val="001C20D3"/>
    <w:rsid w:val="001C653F"/>
    <w:rsid w:val="001D6E74"/>
    <w:rsid w:val="001E2965"/>
    <w:rsid w:val="001E464B"/>
    <w:rsid w:val="001E6DF1"/>
    <w:rsid w:val="002028C8"/>
    <w:rsid w:val="002035E0"/>
    <w:rsid w:val="0020506D"/>
    <w:rsid w:val="00206422"/>
    <w:rsid w:val="002077D9"/>
    <w:rsid w:val="002159A1"/>
    <w:rsid w:val="00221280"/>
    <w:rsid w:val="002239B2"/>
    <w:rsid w:val="00234151"/>
    <w:rsid w:val="00234F2C"/>
    <w:rsid w:val="00254061"/>
    <w:rsid w:val="00256B71"/>
    <w:rsid w:val="00257CE7"/>
    <w:rsid w:val="00263C52"/>
    <w:rsid w:val="00265B75"/>
    <w:rsid w:val="0027045A"/>
    <w:rsid w:val="0027208A"/>
    <w:rsid w:val="00274443"/>
    <w:rsid w:val="002748B5"/>
    <w:rsid w:val="0028053B"/>
    <w:rsid w:val="0028055B"/>
    <w:rsid w:val="00285AB7"/>
    <w:rsid w:val="00286AFC"/>
    <w:rsid w:val="00290BE5"/>
    <w:rsid w:val="0029112A"/>
    <w:rsid w:val="00291DA3"/>
    <w:rsid w:val="00296756"/>
    <w:rsid w:val="002A784B"/>
    <w:rsid w:val="002B0A69"/>
    <w:rsid w:val="002C1730"/>
    <w:rsid w:val="002C1CF5"/>
    <w:rsid w:val="002D2C1E"/>
    <w:rsid w:val="002F086B"/>
    <w:rsid w:val="002F4CF2"/>
    <w:rsid w:val="002F67EE"/>
    <w:rsid w:val="0030534C"/>
    <w:rsid w:val="00307555"/>
    <w:rsid w:val="00315FAD"/>
    <w:rsid w:val="00317895"/>
    <w:rsid w:val="003348F6"/>
    <w:rsid w:val="00341304"/>
    <w:rsid w:val="00343D97"/>
    <w:rsid w:val="003530CA"/>
    <w:rsid w:val="00372CD6"/>
    <w:rsid w:val="00376FCE"/>
    <w:rsid w:val="00384B3F"/>
    <w:rsid w:val="003919B1"/>
    <w:rsid w:val="003A46F9"/>
    <w:rsid w:val="003A6DC0"/>
    <w:rsid w:val="003B60F4"/>
    <w:rsid w:val="003C6F3F"/>
    <w:rsid w:val="003D0515"/>
    <w:rsid w:val="003D2569"/>
    <w:rsid w:val="003D6134"/>
    <w:rsid w:val="003D6308"/>
    <w:rsid w:val="003D6B91"/>
    <w:rsid w:val="003E0C43"/>
    <w:rsid w:val="003E3DDD"/>
    <w:rsid w:val="003F1322"/>
    <w:rsid w:val="003F3ECD"/>
    <w:rsid w:val="00403DD7"/>
    <w:rsid w:val="00406701"/>
    <w:rsid w:val="0042440B"/>
    <w:rsid w:val="00430368"/>
    <w:rsid w:val="004303DF"/>
    <w:rsid w:val="0043682D"/>
    <w:rsid w:val="00444BD2"/>
    <w:rsid w:val="00451330"/>
    <w:rsid w:val="00451BC4"/>
    <w:rsid w:val="00475968"/>
    <w:rsid w:val="00495746"/>
    <w:rsid w:val="00495763"/>
    <w:rsid w:val="00496BF1"/>
    <w:rsid w:val="004A351F"/>
    <w:rsid w:val="004B6A06"/>
    <w:rsid w:val="004D1B91"/>
    <w:rsid w:val="004E333D"/>
    <w:rsid w:val="004E54A5"/>
    <w:rsid w:val="004E7B9C"/>
    <w:rsid w:val="004F4CA1"/>
    <w:rsid w:val="004F74B0"/>
    <w:rsid w:val="005001F8"/>
    <w:rsid w:val="00501053"/>
    <w:rsid w:val="005062A8"/>
    <w:rsid w:val="00513D48"/>
    <w:rsid w:val="00514B08"/>
    <w:rsid w:val="00514C87"/>
    <w:rsid w:val="00517305"/>
    <w:rsid w:val="005200CB"/>
    <w:rsid w:val="00523C8E"/>
    <w:rsid w:val="005255AD"/>
    <w:rsid w:val="005313DB"/>
    <w:rsid w:val="00534F2A"/>
    <w:rsid w:val="0054038E"/>
    <w:rsid w:val="005449D7"/>
    <w:rsid w:val="005576E8"/>
    <w:rsid w:val="0056453F"/>
    <w:rsid w:val="005659E6"/>
    <w:rsid w:val="00587272"/>
    <w:rsid w:val="00590668"/>
    <w:rsid w:val="005937ED"/>
    <w:rsid w:val="0059408C"/>
    <w:rsid w:val="005A21A4"/>
    <w:rsid w:val="005A37ED"/>
    <w:rsid w:val="005A660D"/>
    <w:rsid w:val="005B3B08"/>
    <w:rsid w:val="005B65A1"/>
    <w:rsid w:val="005C2F59"/>
    <w:rsid w:val="005C7E88"/>
    <w:rsid w:val="005D7716"/>
    <w:rsid w:val="005E2597"/>
    <w:rsid w:val="005E34FD"/>
    <w:rsid w:val="005E40C6"/>
    <w:rsid w:val="005F5FDE"/>
    <w:rsid w:val="00600134"/>
    <w:rsid w:val="0061598F"/>
    <w:rsid w:val="00617524"/>
    <w:rsid w:val="0062013A"/>
    <w:rsid w:val="00621708"/>
    <w:rsid w:val="0063687D"/>
    <w:rsid w:val="00640172"/>
    <w:rsid w:val="00641C20"/>
    <w:rsid w:val="00643450"/>
    <w:rsid w:val="00652002"/>
    <w:rsid w:val="00660E70"/>
    <w:rsid w:val="006634BE"/>
    <w:rsid w:val="00664841"/>
    <w:rsid w:val="006722B1"/>
    <w:rsid w:val="00672FAE"/>
    <w:rsid w:val="00694CEE"/>
    <w:rsid w:val="006A34F5"/>
    <w:rsid w:val="006B0F08"/>
    <w:rsid w:val="006B2BAD"/>
    <w:rsid w:val="006B3601"/>
    <w:rsid w:val="006B7E35"/>
    <w:rsid w:val="006D54A5"/>
    <w:rsid w:val="006E3F6E"/>
    <w:rsid w:val="006E544D"/>
    <w:rsid w:val="006F2135"/>
    <w:rsid w:val="00701F4F"/>
    <w:rsid w:val="00706D2A"/>
    <w:rsid w:val="00707BFB"/>
    <w:rsid w:val="00707D83"/>
    <w:rsid w:val="00721FE0"/>
    <w:rsid w:val="0074295E"/>
    <w:rsid w:val="00743302"/>
    <w:rsid w:val="007452B8"/>
    <w:rsid w:val="007532A8"/>
    <w:rsid w:val="007577D9"/>
    <w:rsid w:val="007751B1"/>
    <w:rsid w:val="0077698F"/>
    <w:rsid w:val="007906DE"/>
    <w:rsid w:val="00795C61"/>
    <w:rsid w:val="00797077"/>
    <w:rsid w:val="007A62AD"/>
    <w:rsid w:val="007C0273"/>
    <w:rsid w:val="007C326B"/>
    <w:rsid w:val="007C6D73"/>
    <w:rsid w:val="007C6D9F"/>
    <w:rsid w:val="007D6730"/>
    <w:rsid w:val="007E510C"/>
    <w:rsid w:val="007E5553"/>
    <w:rsid w:val="007E6DBC"/>
    <w:rsid w:val="00823E19"/>
    <w:rsid w:val="008251DE"/>
    <w:rsid w:val="00826773"/>
    <w:rsid w:val="00826BF3"/>
    <w:rsid w:val="00832EA2"/>
    <w:rsid w:val="00834DBC"/>
    <w:rsid w:val="00836F4E"/>
    <w:rsid w:val="00842D45"/>
    <w:rsid w:val="008455A4"/>
    <w:rsid w:val="008466F9"/>
    <w:rsid w:val="0086143E"/>
    <w:rsid w:val="00862740"/>
    <w:rsid w:val="008640FF"/>
    <w:rsid w:val="00864D62"/>
    <w:rsid w:val="0087088D"/>
    <w:rsid w:val="008773E8"/>
    <w:rsid w:val="00883B86"/>
    <w:rsid w:val="00890A09"/>
    <w:rsid w:val="008915C9"/>
    <w:rsid w:val="00891784"/>
    <w:rsid w:val="008947D7"/>
    <w:rsid w:val="00897CC1"/>
    <w:rsid w:val="008A0735"/>
    <w:rsid w:val="008A4756"/>
    <w:rsid w:val="008A4E15"/>
    <w:rsid w:val="008A5B8C"/>
    <w:rsid w:val="008A5BDA"/>
    <w:rsid w:val="008B6852"/>
    <w:rsid w:val="008C41F2"/>
    <w:rsid w:val="008C5633"/>
    <w:rsid w:val="008D0F72"/>
    <w:rsid w:val="00902473"/>
    <w:rsid w:val="0090437D"/>
    <w:rsid w:val="009111D3"/>
    <w:rsid w:val="00941F5C"/>
    <w:rsid w:val="00950B2E"/>
    <w:rsid w:val="00950DFC"/>
    <w:rsid w:val="0095537E"/>
    <w:rsid w:val="00964D79"/>
    <w:rsid w:val="0097359A"/>
    <w:rsid w:val="00974811"/>
    <w:rsid w:val="009779A9"/>
    <w:rsid w:val="009828CD"/>
    <w:rsid w:val="00983840"/>
    <w:rsid w:val="00987930"/>
    <w:rsid w:val="00992D2A"/>
    <w:rsid w:val="009954C8"/>
    <w:rsid w:val="009A12F9"/>
    <w:rsid w:val="009A4B3A"/>
    <w:rsid w:val="009A5C68"/>
    <w:rsid w:val="009B081C"/>
    <w:rsid w:val="009B2266"/>
    <w:rsid w:val="009B2F74"/>
    <w:rsid w:val="009C0A6F"/>
    <w:rsid w:val="009C0F7B"/>
    <w:rsid w:val="009C2056"/>
    <w:rsid w:val="009C29B9"/>
    <w:rsid w:val="009D220C"/>
    <w:rsid w:val="009D6034"/>
    <w:rsid w:val="009D6DCF"/>
    <w:rsid w:val="009E6F48"/>
    <w:rsid w:val="009E7B80"/>
    <w:rsid w:val="009F3D27"/>
    <w:rsid w:val="00A068A5"/>
    <w:rsid w:val="00A072F6"/>
    <w:rsid w:val="00A15377"/>
    <w:rsid w:val="00A220F0"/>
    <w:rsid w:val="00A22928"/>
    <w:rsid w:val="00A42FDA"/>
    <w:rsid w:val="00A57FED"/>
    <w:rsid w:val="00A624E0"/>
    <w:rsid w:val="00A66212"/>
    <w:rsid w:val="00A80149"/>
    <w:rsid w:val="00A83926"/>
    <w:rsid w:val="00A83EA0"/>
    <w:rsid w:val="00A84612"/>
    <w:rsid w:val="00A87927"/>
    <w:rsid w:val="00A915A0"/>
    <w:rsid w:val="00A944C5"/>
    <w:rsid w:val="00A96761"/>
    <w:rsid w:val="00AA24E8"/>
    <w:rsid w:val="00AA40ED"/>
    <w:rsid w:val="00AA5AD3"/>
    <w:rsid w:val="00AA6908"/>
    <w:rsid w:val="00AA6A05"/>
    <w:rsid w:val="00AB3FBC"/>
    <w:rsid w:val="00AB4BC4"/>
    <w:rsid w:val="00AD356E"/>
    <w:rsid w:val="00AD4396"/>
    <w:rsid w:val="00AF21AD"/>
    <w:rsid w:val="00B024C8"/>
    <w:rsid w:val="00B13A16"/>
    <w:rsid w:val="00B166B6"/>
    <w:rsid w:val="00B23EAC"/>
    <w:rsid w:val="00B2477F"/>
    <w:rsid w:val="00B31085"/>
    <w:rsid w:val="00B377B9"/>
    <w:rsid w:val="00B418C0"/>
    <w:rsid w:val="00B44172"/>
    <w:rsid w:val="00B479A8"/>
    <w:rsid w:val="00B47E26"/>
    <w:rsid w:val="00B544A9"/>
    <w:rsid w:val="00B553F1"/>
    <w:rsid w:val="00B617CB"/>
    <w:rsid w:val="00B661F3"/>
    <w:rsid w:val="00B768CA"/>
    <w:rsid w:val="00B828DC"/>
    <w:rsid w:val="00B8353F"/>
    <w:rsid w:val="00B90FE4"/>
    <w:rsid w:val="00BA37C4"/>
    <w:rsid w:val="00BB3F07"/>
    <w:rsid w:val="00BE46BD"/>
    <w:rsid w:val="00BE6F5E"/>
    <w:rsid w:val="00C06BE6"/>
    <w:rsid w:val="00C07459"/>
    <w:rsid w:val="00C131C7"/>
    <w:rsid w:val="00C21380"/>
    <w:rsid w:val="00C250A0"/>
    <w:rsid w:val="00C25E82"/>
    <w:rsid w:val="00C27496"/>
    <w:rsid w:val="00C30A5F"/>
    <w:rsid w:val="00C32222"/>
    <w:rsid w:val="00C62639"/>
    <w:rsid w:val="00C72E65"/>
    <w:rsid w:val="00C73CBC"/>
    <w:rsid w:val="00C91C20"/>
    <w:rsid w:val="00CA0594"/>
    <w:rsid w:val="00CB456B"/>
    <w:rsid w:val="00CC3C11"/>
    <w:rsid w:val="00CC4783"/>
    <w:rsid w:val="00CD40DA"/>
    <w:rsid w:val="00CE1A8B"/>
    <w:rsid w:val="00CE7154"/>
    <w:rsid w:val="00CF45AF"/>
    <w:rsid w:val="00D1315C"/>
    <w:rsid w:val="00D15F27"/>
    <w:rsid w:val="00D300ED"/>
    <w:rsid w:val="00D3059D"/>
    <w:rsid w:val="00D340F8"/>
    <w:rsid w:val="00D361BA"/>
    <w:rsid w:val="00D41979"/>
    <w:rsid w:val="00D63552"/>
    <w:rsid w:val="00D6768E"/>
    <w:rsid w:val="00D714BE"/>
    <w:rsid w:val="00D74F64"/>
    <w:rsid w:val="00D8390F"/>
    <w:rsid w:val="00D86341"/>
    <w:rsid w:val="00D86E6D"/>
    <w:rsid w:val="00DB77F1"/>
    <w:rsid w:val="00DC6A92"/>
    <w:rsid w:val="00DD67F7"/>
    <w:rsid w:val="00DE041E"/>
    <w:rsid w:val="00DE11D5"/>
    <w:rsid w:val="00DE4EE8"/>
    <w:rsid w:val="00E05CBF"/>
    <w:rsid w:val="00E11021"/>
    <w:rsid w:val="00E13DB7"/>
    <w:rsid w:val="00E13DEF"/>
    <w:rsid w:val="00E140C4"/>
    <w:rsid w:val="00E24AD1"/>
    <w:rsid w:val="00E36BBC"/>
    <w:rsid w:val="00E41664"/>
    <w:rsid w:val="00E43C3C"/>
    <w:rsid w:val="00E47FB9"/>
    <w:rsid w:val="00E84464"/>
    <w:rsid w:val="00E90B93"/>
    <w:rsid w:val="00E9182B"/>
    <w:rsid w:val="00E978ED"/>
    <w:rsid w:val="00EA237F"/>
    <w:rsid w:val="00EA3268"/>
    <w:rsid w:val="00EC71FE"/>
    <w:rsid w:val="00ED233B"/>
    <w:rsid w:val="00ED4A78"/>
    <w:rsid w:val="00ED4BC2"/>
    <w:rsid w:val="00EE3DFA"/>
    <w:rsid w:val="00EE4FA5"/>
    <w:rsid w:val="00EF582B"/>
    <w:rsid w:val="00F016D8"/>
    <w:rsid w:val="00F02A56"/>
    <w:rsid w:val="00F0300B"/>
    <w:rsid w:val="00F033B5"/>
    <w:rsid w:val="00F146AF"/>
    <w:rsid w:val="00F1623D"/>
    <w:rsid w:val="00F17128"/>
    <w:rsid w:val="00F213DF"/>
    <w:rsid w:val="00F2287A"/>
    <w:rsid w:val="00F305F7"/>
    <w:rsid w:val="00F3784A"/>
    <w:rsid w:val="00F4236A"/>
    <w:rsid w:val="00F51CA2"/>
    <w:rsid w:val="00F55E6C"/>
    <w:rsid w:val="00F57117"/>
    <w:rsid w:val="00F65175"/>
    <w:rsid w:val="00F6610C"/>
    <w:rsid w:val="00F67462"/>
    <w:rsid w:val="00F71DF7"/>
    <w:rsid w:val="00F84699"/>
    <w:rsid w:val="00F95A8D"/>
    <w:rsid w:val="00F97E39"/>
    <w:rsid w:val="00FA48C2"/>
    <w:rsid w:val="00FB5AFC"/>
    <w:rsid w:val="00FC55AB"/>
    <w:rsid w:val="00FC64A4"/>
    <w:rsid w:val="00FD2833"/>
    <w:rsid w:val="00FE1783"/>
    <w:rsid w:val="00FF1AF0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7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6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64D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6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64D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864D6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864D62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864D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64D62"/>
    <w:rPr>
      <w:rFonts w:ascii="Times New Roman" w:eastAsia="宋体" w:hAnsi="Times New Roman" w:cs="Times New Roman"/>
      <w:sz w:val="18"/>
      <w:szCs w:val="18"/>
    </w:rPr>
  </w:style>
  <w:style w:type="character" w:customStyle="1" w:styleId="textitem">
    <w:name w:val="textitem"/>
    <w:basedOn w:val="a0"/>
    <w:uiPriority w:val="99"/>
    <w:rsid w:val="00864D62"/>
    <w:rPr>
      <w:rFonts w:cs="Times New Roman"/>
    </w:rPr>
  </w:style>
  <w:style w:type="paragraph" w:styleId="a8">
    <w:name w:val="footnote text"/>
    <w:basedOn w:val="a"/>
    <w:link w:val="Char2"/>
    <w:uiPriority w:val="99"/>
    <w:semiHidden/>
    <w:rsid w:val="00864D6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locked/>
    <w:rsid w:val="00864D62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rsid w:val="00864D62"/>
    <w:rPr>
      <w:rFonts w:cs="Times New Roman"/>
      <w:vertAlign w:val="superscript"/>
    </w:rPr>
  </w:style>
  <w:style w:type="character" w:customStyle="1" w:styleId="hy1">
    <w:name w:val="hy1"/>
    <w:uiPriority w:val="99"/>
    <w:rsid w:val="00864D62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rsid w:val="00864D6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locked/>
    <w:rsid w:val="00864D6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864D62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locked/>
    <w:rsid w:val="00864D62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Char10">
    <w:name w:val="脚注文本 Char1"/>
    <w:uiPriority w:val="99"/>
    <w:locked/>
    <w:rsid w:val="00864D62"/>
    <w:rPr>
      <w:rFonts w:ascii="Calibri" w:eastAsia="仿宋_GB2312" w:hAnsi="Calibri"/>
      <w:kern w:val="2"/>
      <w:sz w:val="18"/>
    </w:rPr>
  </w:style>
  <w:style w:type="paragraph" w:styleId="aa">
    <w:name w:val="Date"/>
    <w:basedOn w:val="a"/>
    <w:next w:val="a"/>
    <w:link w:val="Char3"/>
    <w:uiPriority w:val="99"/>
    <w:rsid w:val="00864D6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locked/>
    <w:rsid w:val="00864D62"/>
    <w:rPr>
      <w:rFonts w:ascii="Times New Roman" w:eastAsia="宋体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864D62"/>
    <w:pPr>
      <w:ind w:firstLineChars="200" w:firstLine="420"/>
    </w:pPr>
    <w:rPr>
      <w:rFonts w:ascii="Calibri" w:hAnsi="Calibri" w:cs="Calibri"/>
      <w:szCs w:val="21"/>
    </w:rPr>
  </w:style>
  <w:style w:type="character" w:styleId="ad">
    <w:name w:val="Hyperlink"/>
    <w:basedOn w:val="a0"/>
    <w:uiPriority w:val="99"/>
    <w:rsid w:val="00864D6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864D6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4">
    <w:name w:val="xl64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5">
    <w:name w:val="xl65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uiPriority w:val="99"/>
    <w:rsid w:val="00864D6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uiPriority w:val="99"/>
    <w:rsid w:val="00864D6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font6">
    <w:name w:val="font6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6">
    <w:name w:val="xl76"/>
    <w:basedOn w:val="a"/>
    <w:uiPriority w:val="99"/>
    <w:rsid w:val="00864D6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7">
    <w:name w:val="xl77"/>
    <w:basedOn w:val="a"/>
    <w:uiPriority w:val="99"/>
    <w:rsid w:val="00864D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8">
    <w:name w:val="xl78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9">
    <w:name w:val="xl79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uiPriority w:val="99"/>
    <w:rsid w:val="00864D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1">
    <w:name w:val="xl81"/>
    <w:basedOn w:val="a"/>
    <w:uiPriority w:val="99"/>
    <w:rsid w:val="00864D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styleId="af">
    <w:name w:val="endnote text"/>
    <w:basedOn w:val="a"/>
    <w:link w:val="Char4"/>
    <w:uiPriority w:val="99"/>
    <w:rsid w:val="00864D62"/>
    <w:pPr>
      <w:snapToGrid w:val="0"/>
      <w:jc w:val="left"/>
    </w:pPr>
    <w:rPr>
      <w:rFonts w:ascii="Calibri" w:hAnsi="Calibri" w:cs="Calibri"/>
      <w:szCs w:val="21"/>
    </w:rPr>
  </w:style>
  <w:style w:type="character" w:customStyle="1" w:styleId="Char4">
    <w:name w:val="尾注文本 Char"/>
    <w:basedOn w:val="a0"/>
    <w:link w:val="af"/>
    <w:uiPriority w:val="99"/>
    <w:locked/>
    <w:rsid w:val="00864D62"/>
    <w:rPr>
      <w:rFonts w:ascii="Calibri" w:eastAsia="宋体" w:hAnsi="Calibri" w:cs="Calibri"/>
      <w:sz w:val="21"/>
      <w:szCs w:val="21"/>
    </w:rPr>
  </w:style>
  <w:style w:type="character" w:styleId="af0">
    <w:name w:val="endnote reference"/>
    <w:basedOn w:val="a0"/>
    <w:uiPriority w:val="99"/>
    <w:rsid w:val="00864D62"/>
    <w:rPr>
      <w:rFonts w:cs="Times New Roman"/>
      <w:vertAlign w:val="superscript"/>
    </w:rPr>
  </w:style>
  <w:style w:type="paragraph" w:customStyle="1" w:styleId="xl82">
    <w:name w:val="xl82"/>
    <w:basedOn w:val="a"/>
    <w:uiPriority w:val="99"/>
    <w:rsid w:val="00864D6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uiPriority w:val="99"/>
    <w:rsid w:val="00864D6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uiPriority w:val="99"/>
    <w:rsid w:val="00864D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5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40</cp:revision>
  <cp:lastPrinted>2020-01-09T01:51:00Z</cp:lastPrinted>
  <dcterms:created xsi:type="dcterms:W3CDTF">2020-01-14T06:16:00Z</dcterms:created>
  <dcterms:modified xsi:type="dcterms:W3CDTF">2020-08-24T01:49:00Z</dcterms:modified>
</cp:coreProperties>
</file>