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CF" w:rsidRDefault="00D62DCF" w:rsidP="00272731">
      <w:pPr>
        <w:spacing w:line="840" w:lineRule="exact"/>
        <w:jc w:val="center"/>
        <w:rPr>
          <w:rFonts w:eastAsia="华文中宋" w:hAnsi="华文中宋"/>
          <w:b/>
          <w:color w:val="000000"/>
          <w:spacing w:val="-8"/>
          <w:sz w:val="44"/>
          <w:szCs w:val="44"/>
        </w:rPr>
      </w:pPr>
    </w:p>
    <w:p w:rsidR="00D62DCF" w:rsidRPr="00E11021" w:rsidRDefault="00D62DCF" w:rsidP="00864D62">
      <w:pPr>
        <w:spacing w:line="600" w:lineRule="exact"/>
        <w:jc w:val="center"/>
        <w:rPr>
          <w:rFonts w:eastAsia="华文中宋"/>
          <w:b/>
          <w:color w:val="000000"/>
          <w:spacing w:val="-8"/>
          <w:sz w:val="44"/>
          <w:szCs w:val="44"/>
        </w:rPr>
      </w:pPr>
      <w:r w:rsidRPr="00E11021">
        <w:rPr>
          <w:rFonts w:eastAsia="华文中宋" w:hAnsi="华文中宋" w:hint="eastAsia"/>
          <w:b/>
          <w:color w:val="000000"/>
          <w:spacing w:val="-8"/>
          <w:sz w:val="44"/>
          <w:szCs w:val="44"/>
        </w:rPr>
        <w:t>江山市人民法院</w:t>
      </w:r>
    </w:p>
    <w:p w:rsidR="00D62DCF" w:rsidRPr="00E11021" w:rsidRDefault="00D62DCF" w:rsidP="00864D62">
      <w:pPr>
        <w:spacing w:line="600" w:lineRule="exact"/>
        <w:jc w:val="center"/>
        <w:rPr>
          <w:rFonts w:eastAsia="华文中宋"/>
          <w:b/>
          <w:color w:val="000000"/>
          <w:spacing w:val="-8"/>
          <w:sz w:val="44"/>
          <w:szCs w:val="44"/>
        </w:rPr>
      </w:pPr>
      <w:r>
        <w:rPr>
          <w:rFonts w:eastAsia="华文中宋"/>
          <w:b/>
          <w:color w:val="000000"/>
          <w:spacing w:val="-8"/>
          <w:sz w:val="44"/>
          <w:szCs w:val="44"/>
        </w:rPr>
        <w:t>2020</w:t>
      </w:r>
      <w:r>
        <w:rPr>
          <w:rFonts w:eastAsia="华文中宋" w:hint="eastAsia"/>
          <w:b/>
          <w:color w:val="000000"/>
          <w:spacing w:val="-8"/>
          <w:sz w:val="44"/>
          <w:szCs w:val="44"/>
        </w:rPr>
        <w:t>年</w:t>
      </w:r>
      <w:r>
        <w:rPr>
          <w:rFonts w:eastAsia="华文中宋"/>
          <w:b/>
          <w:color w:val="000000"/>
          <w:spacing w:val="-8"/>
          <w:sz w:val="44"/>
          <w:szCs w:val="44"/>
        </w:rPr>
        <w:t>1-2</w:t>
      </w:r>
      <w:r>
        <w:rPr>
          <w:rFonts w:eastAsia="华文中宋" w:hint="eastAsia"/>
          <w:b/>
          <w:color w:val="000000"/>
          <w:spacing w:val="-8"/>
          <w:sz w:val="44"/>
          <w:szCs w:val="44"/>
        </w:rPr>
        <w:t>月</w:t>
      </w:r>
      <w:r w:rsidRPr="00E11021">
        <w:rPr>
          <w:rFonts w:eastAsia="华文中宋" w:hint="eastAsia"/>
          <w:b/>
          <w:color w:val="000000"/>
          <w:spacing w:val="-8"/>
          <w:sz w:val="44"/>
          <w:szCs w:val="44"/>
        </w:rPr>
        <w:t>审执工作情况通报</w:t>
      </w:r>
    </w:p>
    <w:p w:rsidR="00D62DCF" w:rsidRPr="00E11021" w:rsidRDefault="00463B27" w:rsidP="00697B1E">
      <w:pPr>
        <w:spacing w:beforeLines="50" w:line="600" w:lineRule="exact"/>
        <w:jc w:val="center"/>
        <w:rPr>
          <w:rFonts w:eastAsia="楷体_GB2312"/>
          <w:color w:val="000000"/>
          <w:spacing w:val="-8"/>
          <w:sz w:val="32"/>
          <w:szCs w:val="32"/>
        </w:rPr>
      </w:pPr>
      <w:r w:rsidRPr="00463B27">
        <w:rPr>
          <w:noProof/>
        </w:rPr>
        <w:pict>
          <v:line id="_x0000_s1026" style="position:absolute;left:0;text-align:left;z-index:1" from="1.25pt,95.95pt" to="444.55pt,95.95pt" stroked="f"/>
        </w:pict>
      </w:r>
      <w:r w:rsidR="00D62DCF" w:rsidRPr="00E11021">
        <w:rPr>
          <w:rFonts w:eastAsia="楷体_GB2312" w:hint="eastAsia"/>
          <w:color w:val="000000"/>
          <w:spacing w:val="-8"/>
          <w:sz w:val="32"/>
          <w:szCs w:val="32"/>
        </w:rPr>
        <w:t>江山法院审判管理办公室</w:t>
      </w:r>
    </w:p>
    <w:p w:rsidR="00D62DCF" w:rsidRPr="00E11021" w:rsidRDefault="00D62DCF" w:rsidP="00272731">
      <w:pPr>
        <w:spacing w:line="640" w:lineRule="exact"/>
        <w:jc w:val="center"/>
        <w:rPr>
          <w:rFonts w:eastAsia="楷体_GB2312"/>
          <w:b/>
          <w:color w:val="000000"/>
          <w:spacing w:val="-8"/>
          <w:sz w:val="28"/>
          <w:szCs w:val="28"/>
        </w:rPr>
      </w:pPr>
    </w:p>
    <w:p w:rsidR="00D62DCF" w:rsidRPr="008C41F2" w:rsidRDefault="00463B27" w:rsidP="00697B1E">
      <w:pPr>
        <w:spacing w:line="560" w:lineRule="exact"/>
        <w:ind w:firstLineChars="300" w:firstLine="630"/>
        <w:rPr>
          <w:rFonts w:ascii="黑体" w:eastAsia="黑体"/>
          <w:color w:val="000000"/>
          <w:spacing w:val="-4"/>
          <w:kern w:val="0"/>
          <w:sz w:val="32"/>
          <w:szCs w:val="32"/>
        </w:rPr>
      </w:pPr>
      <w:r w:rsidRPr="00463B27">
        <w:rPr>
          <w:noProof/>
        </w:rPr>
        <w:pict>
          <v:line id="_x0000_s1027" style="position:absolute;left:0;text-align:left;z-index:2" from="-9.2pt,-40.85pt" to="439.3pt,-40.85pt" stroked="f"/>
        </w:pict>
      </w:r>
      <w:r w:rsidR="00D62DCF" w:rsidRPr="008C41F2">
        <w:rPr>
          <w:rFonts w:ascii="黑体" w:eastAsia="黑体" w:hint="eastAsia"/>
          <w:color w:val="000000"/>
          <w:spacing w:val="-4"/>
          <w:kern w:val="0"/>
          <w:sz w:val="32"/>
          <w:szCs w:val="32"/>
        </w:rPr>
        <w:t>一、</w:t>
      </w:r>
      <w:r w:rsidR="00D62DCF">
        <w:rPr>
          <w:rFonts w:ascii="黑体" w:eastAsia="黑体"/>
          <w:color w:val="000000"/>
          <w:spacing w:val="-4"/>
          <w:kern w:val="0"/>
          <w:sz w:val="32"/>
          <w:szCs w:val="32"/>
        </w:rPr>
        <w:t>2020</w:t>
      </w:r>
      <w:r w:rsidR="00D62DCF">
        <w:rPr>
          <w:rFonts w:ascii="黑体" w:eastAsia="黑体" w:hint="eastAsia"/>
          <w:color w:val="000000"/>
          <w:spacing w:val="-4"/>
          <w:kern w:val="0"/>
          <w:sz w:val="32"/>
          <w:szCs w:val="32"/>
        </w:rPr>
        <w:t>年</w:t>
      </w:r>
      <w:r w:rsidR="00D62DCF">
        <w:rPr>
          <w:rFonts w:ascii="黑体" w:eastAsia="黑体"/>
          <w:color w:val="000000"/>
          <w:spacing w:val="-4"/>
          <w:kern w:val="0"/>
          <w:sz w:val="32"/>
          <w:szCs w:val="32"/>
        </w:rPr>
        <w:t>1-2</w:t>
      </w:r>
      <w:r w:rsidR="00D62DCF">
        <w:rPr>
          <w:rFonts w:ascii="黑体" w:eastAsia="黑体" w:hint="eastAsia"/>
          <w:color w:val="000000"/>
          <w:spacing w:val="-4"/>
          <w:kern w:val="0"/>
          <w:sz w:val="32"/>
          <w:szCs w:val="32"/>
        </w:rPr>
        <w:t>月</w:t>
      </w:r>
      <w:r w:rsidR="00D62DCF" w:rsidRPr="008C41F2">
        <w:rPr>
          <w:rFonts w:ascii="黑体" w:eastAsia="黑体" w:hint="eastAsia"/>
          <w:color w:val="000000"/>
          <w:spacing w:val="-4"/>
          <w:kern w:val="0"/>
          <w:sz w:val="32"/>
          <w:szCs w:val="32"/>
        </w:rPr>
        <w:t>收结存案件情况</w:t>
      </w:r>
    </w:p>
    <w:p w:rsidR="00D62DCF" w:rsidRPr="009211BF" w:rsidRDefault="00D62DCF" w:rsidP="00697B1E">
      <w:pPr>
        <w:adjustRightInd w:val="0"/>
        <w:spacing w:line="560" w:lineRule="exact"/>
        <w:ind w:firstLineChars="200" w:firstLine="624"/>
        <w:textAlignment w:val="baseline"/>
        <w:rPr>
          <w:rFonts w:ascii="仿宋_GB2312" w:eastAsia="仿宋_GB2312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年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1-2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月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，新收各类案件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1314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36.31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；结案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917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39.79</w:t>
      </w:r>
      <w:r w:rsidRPr="008C41F2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%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；未结案</w:t>
      </w:r>
      <w:r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1447</w:t>
      </w:r>
      <w:r w:rsidRPr="008C41F2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件，同比下降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11.34%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。其中，刑事案件收案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82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件（不含刑罚变更案件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4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件），占收案总数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6.24%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，同比上升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18.81%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；民</w:t>
      </w:r>
      <w:r w:rsidRPr="009211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商事案件收案</w:t>
      </w:r>
      <w:r w:rsidRPr="009211BF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565</w:t>
      </w:r>
      <w:r w:rsidRPr="009211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件，占收案总数</w:t>
      </w:r>
      <w:r w:rsidRPr="009211BF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42.3%</w:t>
      </w:r>
      <w:r w:rsidRPr="009211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，同比下降</w:t>
      </w:r>
      <w:r w:rsidRPr="009211BF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44.44%</w:t>
      </w:r>
      <w:r w:rsidRPr="009211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，结案</w:t>
      </w:r>
      <w:r w:rsidRPr="009211BF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262</w:t>
      </w:r>
      <w:r w:rsidRPr="009211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件，同比下降</w:t>
      </w:r>
      <w:r w:rsidRPr="009211BF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65.16%</w:t>
      </w:r>
      <w:r w:rsidRPr="009211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；执行案件收案</w:t>
      </w:r>
      <w:r w:rsidRPr="009211BF">
        <w:rPr>
          <w:rFonts w:ascii="仿宋_GB2312" w:eastAsia="仿宋_GB2312"/>
          <w:color w:val="000000"/>
          <w:spacing w:val="-6"/>
          <w:kern w:val="0"/>
          <w:sz w:val="32"/>
          <w:szCs w:val="32"/>
        </w:rPr>
        <w:t>510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件，占收案总数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38.82%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，同比下降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40.84%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，结案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917</w:t>
      </w:r>
      <w:r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件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，同比下降</w:t>
      </w:r>
      <w:r w:rsidRPr="009211BF">
        <w:rPr>
          <w:rFonts w:ascii="仿宋_GB2312" w:eastAsia="仿宋_GB2312"/>
          <w:color w:val="000000"/>
          <w:spacing w:val="-4"/>
          <w:kern w:val="0"/>
          <w:sz w:val="32"/>
          <w:szCs w:val="32"/>
        </w:rPr>
        <w:t>39.79%</w:t>
      </w:r>
      <w:r w:rsidRPr="009211BF">
        <w:rPr>
          <w:rFonts w:ascii="仿宋_GB2312"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D62DCF" w:rsidRDefault="00463B27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  <w:r w:rsidRPr="00463B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表 1" o:spid="_x0000_s1028" type="#_x0000_t75" style="position:absolute;left:0;text-align:left;margin-left:17.85pt;margin-top:44pt;width:409pt;height:179.75pt;z-index:-1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">
            <v:imagedata r:id="rId7" o:title=""/>
            <o:lock v:ext="edit" aspectratio="f"/>
          </v:shape>
        </w:pict>
      </w:r>
      <w:r w:rsidR="00D62DCF" w:rsidRPr="00B03FD8">
        <w:rPr>
          <w:rFonts w:ascii="楷体_GB2312" w:eastAsia="楷体_GB2312" w:hint="eastAsia"/>
          <w:b/>
          <w:color w:val="000000"/>
          <w:kern w:val="0"/>
          <w:sz w:val="24"/>
        </w:rPr>
        <w:t>图</w:t>
      </w:r>
      <w:r w:rsidR="00D62DCF" w:rsidRPr="00B03FD8">
        <w:rPr>
          <w:rFonts w:ascii="楷体_GB2312" w:eastAsia="楷体_GB2312"/>
          <w:b/>
          <w:color w:val="000000"/>
          <w:kern w:val="0"/>
          <w:sz w:val="24"/>
        </w:rPr>
        <w:t>1</w:t>
      </w:r>
      <w:r w:rsidR="00D62DCF" w:rsidRPr="00B03FD8">
        <w:rPr>
          <w:rFonts w:ascii="楷体_GB2312" w:eastAsia="楷体_GB2312" w:hint="eastAsia"/>
          <w:b/>
          <w:color w:val="000000"/>
          <w:kern w:val="0"/>
          <w:sz w:val="24"/>
        </w:rPr>
        <w:t>：全市法院</w:t>
      </w:r>
      <w:r w:rsidR="00D62DCF" w:rsidRPr="00B03FD8">
        <w:rPr>
          <w:rFonts w:ascii="楷体_GB2312" w:eastAsia="楷体_GB2312"/>
          <w:b/>
          <w:color w:val="000000"/>
          <w:kern w:val="0"/>
          <w:sz w:val="24"/>
        </w:rPr>
        <w:t>2020</w:t>
      </w:r>
      <w:r w:rsidR="00D62DCF" w:rsidRPr="00B03FD8">
        <w:rPr>
          <w:rFonts w:ascii="楷体_GB2312" w:eastAsia="楷体_GB2312" w:hint="eastAsia"/>
          <w:b/>
          <w:color w:val="000000"/>
          <w:kern w:val="0"/>
          <w:sz w:val="24"/>
        </w:rPr>
        <w:t>年</w:t>
      </w:r>
      <w:r w:rsidR="00D62DCF" w:rsidRPr="00B03FD8">
        <w:rPr>
          <w:rFonts w:ascii="楷体_GB2312" w:eastAsia="楷体_GB2312"/>
          <w:b/>
          <w:color w:val="000000"/>
          <w:kern w:val="0"/>
          <w:sz w:val="24"/>
        </w:rPr>
        <w:t>1-2</w:t>
      </w:r>
      <w:r w:rsidR="00D62DCF" w:rsidRPr="00B03FD8">
        <w:rPr>
          <w:rFonts w:ascii="楷体_GB2312" w:eastAsia="楷体_GB2312" w:hint="eastAsia"/>
          <w:b/>
          <w:color w:val="000000"/>
          <w:kern w:val="0"/>
          <w:sz w:val="24"/>
        </w:rPr>
        <w:t>月收结存数据同期对比图</w:t>
      </w: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697B1E">
      <w:pPr>
        <w:tabs>
          <w:tab w:val="left" w:pos="854"/>
          <w:tab w:val="center" w:pos="4422"/>
        </w:tabs>
        <w:spacing w:beforeLines="100" w:afterLines="10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Default="00D62DCF" w:rsidP="00DA23F5">
      <w:pPr>
        <w:tabs>
          <w:tab w:val="left" w:pos="854"/>
          <w:tab w:val="center" w:pos="4422"/>
        </w:tabs>
        <w:spacing w:line="24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</w:p>
    <w:p w:rsidR="00D62DCF" w:rsidRPr="00291DA3" w:rsidRDefault="00697B1E" w:rsidP="00697B1E">
      <w:pPr>
        <w:snapToGrid w:val="0"/>
        <w:spacing w:line="534" w:lineRule="exact"/>
        <w:ind w:firstLineChars="200" w:firstLine="624"/>
        <w:rPr>
          <w:rFonts w:ascii="黑体" w:eastAsia="黑体"/>
          <w:color w:val="000000"/>
          <w:spacing w:val="-4"/>
          <w:sz w:val="32"/>
          <w:szCs w:val="32"/>
        </w:rPr>
      </w:pPr>
      <w:r>
        <w:rPr>
          <w:rFonts w:ascii="黑体" w:eastAsia="黑体" w:hint="eastAsia"/>
          <w:color w:val="000000"/>
          <w:spacing w:val="-4"/>
          <w:sz w:val="32"/>
          <w:szCs w:val="32"/>
        </w:rPr>
        <w:t>二</w:t>
      </w:r>
      <w:r w:rsidR="00D62DCF" w:rsidRPr="00291DA3">
        <w:rPr>
          <w:rFonts w:ascii="黑体" w:eastAsia="黑体" w:hint="eastAsia"/>
          <w:color w:val="000000"/>
          <w:spacing w:val="-4"/>
          <w:sz w:val="32"/>
          <w:szCs w:val="32"/>
        </w:rPr>
        <w:t>、</w:t>
      </w:r>
      <w:r w:rsidR="00D62DCF">
        <w:rPr>
          <w:rFonts w:ascii="黑体" w:eastAsia="黑体" w:hint="eastAsia"/>
          <w:color w:val="000000"/>
          <w:spacing w:val="-4"/>
          <w:sz w:val="32"/>
          <w:szCs w:val="32"/>
        </w:rPr>
        <w:t>主要类型</w:t>
      </w:r>
      <w:r w:rsidR="00D62DCF" w:rsidRPr="00291DA3">
        <w:rPr>
          <w:rFonts w:ascii="黑体" w:eastAsia="黑体" w:hint="eastAsia"/>
          <w:color w:val="000000"/>
          <w:spacing w:val="-4"/>
          <w:sz w:val="32"/>
          <w:szCs w:val="32"/>
        </w:rPr>
        <w:t>案件情况</w:t>
      </w:r>
    </w:p>
    <w:p w:rsidR="00D62DCF" w:rsidRDefault="00D62DCF" w:rsidP="00697B1E">
      <w:pPr>
        <w:spacing w:line="534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1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、民商事案件</w:t>
      </w:r>
    </w:p>
    <w:p w:rsidR="00D62DCF" w:rsidRPr="009211BF" w:rsidRDefault="00D62DCF" w:rsidP="00697B1E">
      <w:pPr>
        <w:spacing w:line="534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1-2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E05CBF">
        <w:rPr>
          <w:rFonts w:ascii="仿宋_GB2312" w:eastAsia="仿宋_GB2312" w:hint="eastAsia"/>
          <w:color w:val="000000"/>
          <w:spacing w:val="-6"/>
          <w:kern w:val="0"/>
          <w:sz w:val="32"/>
          <w:szCs w:val="32"/>
        </w:rPr>
        <w:t>，全院共收一</w:t>
      </w:r>
      <w:r w:rsidRPr="00E05CBF">
        <w:rPr>
          <w:rFonts w:ascii="仿宋_GB2312" w:eastAsia="仿宋_GB2312" w:hint="eastAsia"/>
          <w:color w:val="000000"/>
          <w:spacing w:val="-6"/>
          <w:sz w:val="32"/>
          <w:szCs w:val="32"/>
        </w:rPr>
        <w:t>审民商事案件数</w:t>
      </w:r>
      <w:r>
        <w:rPr>
          <w:rFonts w:ascii="仿宋_GB2312" w:eastAsia="仿宋_GB2312"/>
          <w:color w:val="000000"/>
          <w:spacing w:val="-6"/>
          <w:sz w:val="32"/>
          <w:szCs w:val="32"/>
        </w:rPr>
        <w:t>565</w:t>
      </w:r>
      <w:r w:rsidRPr="00E05CBF">
        <w:rPr>
          <w:rFonts w:ascii="仿宋_GB2312" w:eastAsia="仿宋_GB2312" w:hint="eastAsia"/>
          <w:color w:val="000000"/>
          <w:spacing w:val="-6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下降</w:t>
      </w:r>
      <w:r>
        <w:rPr>
          <w:rFonts w:ascii="仿宋_GB2312" w:eastAsia="仿宋_GB2312"/>
          <w:color w:val="000000"/>
          <w:sz w:val="32"/>
          <w:szCs w:val="32"/>
        </w:rPr>
        <w:t>452</w:t>
      </w:r>
      <w:r>
        <w:rPr>
          <w:rFonts w:ascii="仿宋_GB2312" w:eastAsia="仿宋_GB2312" w:hint="eastAsia"/>
          <w:color w:val="000000"/>
          <w:sz w:val="32"/>
          <w:szCs w:val="32"/>
        </w:rPr>
        <w:t>件，同比降幅</w:t>
      </w:r>
      <w:r>
        <w:rPr>
          <w:rFonts w:ascii="仿宋_GB2312" w:eastAsia="仿宋_GB2312"/>
          <w:color w:val="000000"/>
          <w:sz w:val="32"/>
          <w:szCs w:val="32"/>
        </w:rPr>
        <w:t>44.</w:t>
      </w:r>
      <w:r w:rsidRPr="009211BF">
        <w:rPr>
          <w:rFonts w:ascii="仿宋_GB2312" w:eastAsia="仿宋_GB2312"/>
          <w:color w:val="000000"/>
          <w:sz w:val="32"/>
          <w:szCs w:val="32"/>
        </w:rPr>
        <w:t>45%</w:t>
      </w:r>
      <w:r w:rsidRPr="009211BF">
        <w:rPr>
          <w:rFonts w:ascii="仿宋_GB2312" w:eastAsia="仿宋_GB2312" w:hint="eastAsia"/>
          <w:color w:val="000000"/>
          <w:sz w:val="32"/>
          <w:szCs w:val="32"/>
        </w:rPr>
        <w:t>。结案</w:t>
      </w:r>
      <w:r w:rsidRPr="009211BF">
        <w:rPr>
          <w:rFonts w:ascii="仿宋_GB2312" w:eastAsia="仿宋_GB2312"/>
          <w:color w:val="000000"/>
          <w:sz w:val="32"/>
          <w:szCs w:val="32"/>
        </w:rPr>
        <w:t xml:space="preserve">262 </w:t>
      </w:r>
      <w:r w:rsidRPr="009211BF">
        <w:rPr>
          <w:rFonts w:ascii="仿宋_GB2312" w:eastAsia="仿宋_GB2312" w:hint="eastAsia"/>
          <w:color w:val="000000"/>
          <w:sz w:val="32"/>
          <w:szCs w:val="32"/>
        </w:rPr>
        <w:t>件，同比下降</w:t>
      </w:r>
      <w:r w:rsidRPr="009211BF">
        <w:rPr>
          <w:rFonts w:ascii="仿宋_GB2312" w:eastAsia="仿宋_GB2312"/>
          <w:color w:val="000000"/>
          <w:sz w:val="32"/>
          <w:szCs w:val="32"/>
        </w:rPr>
        <w:t>65.16%</w:t>
      </w:r>
      <w:r w:rsidRPr="009211BF">
        <w:rPr>
          <w:rFonts w:ascii="仿宋_GB2312" w:eastAsia="仿宋_GB2312" w:hint="eastAsia"/>
          <w:color w:val="000000"/>
          <w:sz w:val="32"/>
          <w:szCs w:val="32"/>
        </w:rPr>
        <w:t>，未结案</w:t>
      </w:r>
      <w:r w:rsidRPr="009211BF">
        <w:rPr>
          <w:rFonts w:ascii="仿宋_GB2312" w:eastAsia="仿宋_GB2312"/>
          <w:color w:val="000000"/>
          <w:sz w:val="32"/>
          <w:szCs w:val="32"/>
        </w:rPr>
        <w:t>636</w:t>
      </w:r>
      <w:r w:rsidRPr="009211BF">
        <w:rPr>
          <w:rFonts w:ascii="仿宋_GB2312" w:eastAsia="仿宋_GB2312" w:hint="eastAsia"/>
          <w:color w:val="000000"/>
          <w:sz w:val="32"/>
          <w:szCs w:val="32"/>
        </w:rPr>
        <w:t>件，同比下降</w:t>
      </w:r>
      <w:r w:rsidRPr="009211BF">
        <w:rPr>
          <w:rFonts w:ascii="仿宋_GB2312" w:eastAsia="仿宋_GB2312"/>
          <w:color w:val="000000"/>
          <w:sz w:val="32"/>
          <w:szCs w:val="32"/>
        </w:rPr>
        <w:t>3.34%</w:t>
      </w:r>
      <w:r w:rsidRPr="009211B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62DCF" w:rsidRPr="00174D35" w:rsidRDefault="00D62DCF" w:rsidP="00697B1E">
      <w:pPr>
        <w:tabs>
          <w:tab w:val="left" w:pos="854"/>
          <w:tab w:val="center" w:pos="4422"/>
        </w:tabs>
        <w:spacing w:beforeLines="50" w:afterLines="50" w:line="420" w:lineRule="exact"/>
        <w:jc w:val="center"/>
        <w:rPr>
          <w:rFonts w:ascii="楷体_GB2312" w:eastAsia="楷体_GB2312"/>
          <w:b/>
          <w:color w:val="000000"/>
          <w:kern w:val="0"/>
          <w:sz w:val="24"/>
        </w:rPr>
      </w:pPr>
      <w:r w:rsidRPr="00174D35">
        <w:rPr>
          <w:rFonts w:ascii="楷体_GB2312" w:eastAsia="楷体_GB2312" w:hint="eastAsia"/>
          <w:b/>
          <w:color w:val="000000"/>
          <w:kern w:val="0"/>
          <w:sz w:val="24"/>
        </w:rPr>
        <w:t>表</w:t>
      </w:r>
      <w:r w:rsidR="00697B1E">
        <w:rPr>
          <w:rFonts w:ascii="楷体_GB2312" w:eastAsia="楷体_GB2312" w:hint="eastAsia"/>
          <w:b/>
          <w:color w:val="000000"/>
          <w:kern w:val="0"/>
          <w:sz w:val="24"/>
        </w:rPr>
        <w:t>一</w:t>
      </w:r>
      <w:r w:rsidRPr="00174D35">
        <w:rPr>
          <w:rFonts w:ascii="楷体_GB2312" w:eastAsia="楷体_GB2312" w:hint="eastAsia"/>
          <w:b/>
          <w:color w:val="000000"/>
          <w:kern w:val="0"/>
          <w:sz w:val="24"/>
        </w:rPr>
        <w:t>、我院民商事案件主要收案类型</w:t>
      </w:r>
    </w:p>
    <w:tbl>
      <w:tblPr>
        <w:tblW w:w="3889" w:type="pct"/>
        <w:jc w:val="center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6"/>
        <w:gridCol w:w="1549"/>
        <w:gridCol w:w="2421"/>
      </w:tblGrid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黑体" w:eastAsia="黑体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黑体" w:eastAsia="黑体" w:hAnsi="宋体" w:cs="Arial" w:hint="eastAsia"/>
                <w:color w:val="000000"/>
                <w:kern w:val="0"/>
                <w:szCs w:val="21"/>
              </w:rPr>
              <w:t>案件类型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黑体" w:eastAsia="黑体" w:hAnsi="宋体" w:cs="Arial"/>
                <w:color w:val="000000"/>
                <w:kern w:val="0"/>
                <w:szCs w:val="21"/>
              </w:rPr>
            </w:pPr>
            <w:r w:rsidRPr="00D3059D">
              <w:rPr>
                <w:rFonts w:ascii="黑体" w:eastAsia="黑体" w:hAnsi="宋体" w:cs="Arial" w:hint="eastAsia"/>
                <w:color w:val="000000"/>
                <w:kern w:val="0"/>
                <w:szCs w:val="21"/>
              </w:rPr>
              <w:t>件数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黑体" w:eastAsia="黑体" w:hAnsi="Arial" w:cs="Arial"/>
                <w:color w:val="000000"/>
                <w:kern w:val="0"/>
                <w:szCs w:val="21"/>
              </w:rPr>
            </w:pPr>
            <w:r w:rsidRPr="00D3059D">
              <w:rPr>
                <w:rFonts w:ascii="黑体" w:eastAsia="黑体" w:hAnsi="Arial" w:cs="Arial" w:hint="eastAsia"/>
                <w:color w:val="000000"/>
                <w:kern w:val="0"/>
                <w:szCs w:val="21"/>
              </w:rPr>
              <w:t>同比（</w:t>
            </w:r>
            <w:r w:rsidRPr="00D3059D">
              <w:rPr>
                <w:rFonts w:ascii="黑体" w:eastAsia="黑体" w:hAnsi="Arial" w:cs="Arial"/>
                <w:color w:val="000000"/>
                <w:kern w:val="0"/>
                <w:szCs w:val="21"/>
              </w:rPr>
              <w:t>%</w:t>
            </w:r>
            <w:r w:rsidRPr="00D3059D">
              <w:rPr>
                <w:rFonts w:ascii="黑体" w:eastAsia="黑体" w:hAnsi="Arial" w:cs="Arial" w:hint="eastAsia"/>
                <w:color w:val="000000"/>
                <w:kern w:val="0"/>
                <w:szCs w:val="21"/>
              </w:rPr>
              <w:t>）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民间借贷纠纷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-40.35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买卖合同纠纷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-51.79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离婚纠纷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-44.76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金融借款合同纠纷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-67.86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机动车交通事故责任纠纷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-4.55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7A6AC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建设工程合同</w:t>
            </w: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7A6AC1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7A6AC1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-40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物权</w:t>
            </w: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-42.86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 w:rsidRPr="00286AFC"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劳务合同纠纷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8C1866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-74.07</w:t>
            </w:r>
          </w:p>
        </w:tc>
      </w:tr>
      <w:tr w:rsidR="00D62DCF" w:rsidRPr="00286AFC" w:rsidTr="00DA23F5">
        <w:trPr>
          <w:trHeight w:val="390"/>
          <w:jc w:val="center"/>
        </w:trPr>
        <w:tc>
          <w:tcPr>
            <w:tcW w:w="2219" w:type="pct"/>
            <w:vAlign w:val="center"/>
          </w:tcPr>
          <w:p w:rsidR="00D62DCF" w:rsidRPr="00286AFC" w:rsidRDefault="00D62DCF" w:rsidP="0050315C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Cs w:val="21"/>
              </w:rPr>
              <w:t>劳动争议、人事争议案件</w:t>
            </w:r>
          </w:p>
        </w:tc>
        <w:tc>
          <w:tcPr>
            <w:tcW w:w="1085" w:type="pct"/>
            <w:noWrap/>
            <w:vAlign w:val="center"/>
          </w:tcPr>
          <w:p w:rsidR="00D62DCF" w:rsidRPr="00D3059D" w:rsidRDefault="00D62DCF" w:rsidP="0050315C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96" w:type="pct"/>
            <w:noWrap/>
            <w:vAlign w:val="center"/>
          </w:tcPr>
          <w:p w:rsidR="00D62DCF" w:rsidRPr="00D3059D" w:rsidRDefault="00D62DCF" w:rsidP="0050315C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  <w:t>-70</w:t>
            </w:r>
          </w:p>
        </w:tc>
      </w:tr>
    </w:tbl>
    <w:p w:rsidR="00D62DCF" w:rsidRPr="00291DA3" w:rsidRDefault="00D62DCF" w:rsidP="00697B1E">
      <w:pPr>
        <w:spacing w:beforeLines="50" w:line="540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2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、刑事案件</w:t>
      </w:r>
    </w:p>
    <w:p w:rsidR="00D62DCF" w:rsidRPr="00291DA3" w:rsidRDefault="00D62DCF" w:rsidP="00697B1E">
      <w:pPr>
        <w:spacing w:line="534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2020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1-2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，新收刑事案件</w:t>
      </w:r>
      <w:r>
        <w:rPr>
          <w:rFonts w:ascii="仿宋_GB2312" w:eastAsia="仿宋_GB2312"/>
          <w:color w:val="000000"/>
          <w:sz w:val="32"/>
          <w:szCs w:val="32"/>
        </w:rPr>
        <w:t>82</w:t>
      </w:r>
      <w:r>
        <w:rPr>
          <w:rFonts w:ascii="仿宋_GB2312" w:eastAsia="仿宋_GB2312" w:hint="eastAsia"/>
          <w:color w:val="000000"/>
          <w:sz w:val="32"/>
          <w:szCs w:val="32"/>
        </w:rPr>
        <w:t>件（不含刑罚变更），同比下降</w:t>
      </w:r>
      <w:r>
        <w:rPr>
          <w:rFonts w:ascii="仿宋_GB2312" w:eastAsia="仿宋_GB2312"/>
          <w:color w:val="000000"/>
          <w:sz w:val="32"/>
          <w:szCs w:val="32"/>
        </w:rPr>
        <w:t>18.81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；结案</w:t>
      </w:r>
      <w:r>
        <w:rPr>
          <w:rFonts w:ascii="仿宋_GB2312" w:eastAsia="仿宋_GB2312"/>
          <w:color w:val="000000"/>
          <w:sz w:val="32"/>
          <w:szCs w:val="32"/>
        </w:rPr>
        <w:t>21</w:t>
      </w:r>
      <w:r>
        <w:rPr>
          <w:rFonts w:ascii="仿宋_GB2312" w:eastAsia="仿宋_GB2312" w:hint="eastAsia"/>
          <w:color w:val="000000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z w:val="32"/>
          <w:szCs w:val="32"/>
        </w:rPr>
        <w:t>68.66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，未结案</w:t>
      </w:r>
      <w:r>
        <w:rPr>
          <w:rFonts w:ascii="仿宋_GB2312" w:eastAsia="仿宋_GB2312"/>
          <w:color w:val="000000"/>
          <w:sz w:val="32"/>
          <w:szCs w:val="32"/>
        </w:rPr>
        <w:t>98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件，同比上升</w:t>
      </w:r>
      <w:r>
        <w:rPr>
          <w:rFonts w:ascii="仿宋_GB2312" w:eastAsia="仿宋_GB2312"/>
          <w:color w:val="000000"/>
          <w:sz w:val="32"/>
          <w:szCs w:val="32"/>
        </w:rPr>
        <w:t>84.91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62DCF" w:rsidRPr="00291DA3" w:rsidRDefault="00D62DCF" w:rsidP="00697B1E">
      <w:pPr>
        <w:spacing w:line="534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3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、破产案件</w:t>
      </w:r>
    </w:p>
    <w:p w:rsidR="00D62DCF" w:rsidRPr="00291DA3" w:rsidRDefault="00D62DCF" w:rsidP="00697B1E">
      <w:pPr>
        <w:spacing w:line="534" w:lineRule="exact"/>
        <w:ind w:firstLineChars="200" w:firstLine="624"/>
        <w:rPr>
          <w:rFonts w:ascii="仿宋_GB2312" w:eastAsia="仿宋_GB2312"/>
          <w:color w:val="000000"/>
          <w:sz w:val="32"/>
          <w:szCs w:val="32"/>
        </w:rPr>
      </w:pPr>
      <w:r w:rsidRPr="00B4467C">
        <w:rPr>
          <w:rFonts w:ascii="仿宋_GB2312" w:eastAsia="仿宋_GB2312"/>
          <w:color w:val="000000"/>
          <w:spacing w:val="-4"/>
          <w:sz w:val="32"/>
          <w:szCs w:val="32"/>
        </w:rPr>
        <w:t>2020</w:t>
      </w:r>
      <w:r w:rsidRPr="00B4467C">
        <w:rPr>
          <w:rFonts w:ascii="仿宋_GB2312" w:eastAsia="仿宋_GB2312" w:hint="eastAsia"/>
          <w:color w:val="000000"/>
          <w:spacing w:val="-4"/>
          <w:sz w:val="32"/>
          <w:szCs w:val="32"/>
        </w:rPr>
        <w:t>年</w:t>
      </w:r>
      <w:r w:rsidRPr="00B4467C">
        <w:rPr>
          <w:rFonts w:ascii="仿宋_GB2312" w:eastAsia="仿宋_GB2312"/>
          <w:color w:val="000000"/>
          <w:spacing w:val="-4"/>
          <w:sz w:val="32"/>
          <w:szCs w:val="32"/>
        </w:rPr>
        <w:t>1-2</w:t>
      </w:r>
      <w:r w:rsidRPr="00B4467C">
        <w:rPr>
          <w:rFonts w:ascii="仿宋_GB2312" w:eastAsia="仿宋_GB2312" w:hint="eastAsia"/>
          <w:color w:val="000000"/>
          <w:spacing w:val="-4"/>
          <w:sz w:val="32"/>
          <w:szCs w:val="32"/>
        </w:rPr>
        <w:t>月，新收</w:t>
      </w:r>
      <w:r w:rsidRPr="00B4467C">
        <w:rPr>
          <w:rFonts w:ascii="仿宋_GB2312" w:eastAsia="仿宋_GB2312"/>
          <w:color w:val="000000"/>
          <w:spacing w:val="-4"/>
          <w:sz w:val="32"/>
          <w:szCs w:val="32"/>
        </w:rPr>
        <w:t>3</w:t>
      </w:r>
      <w:r w:rsidRPr="00B4467C">
        <w:rPr>
          <w:rFonts w:ascii="仿宋_GB2312" w:eastAsia="仿宋_GB2312" w:hint="eastAsia"/>
          <w:color w:val="000000"/>
          <w:spacing w:val="-4"/>
          <w:sz w:val="32"/>
          <w:szCs w:val="32"/>
        </w:rPr>
        <w:t>件，同比下降</w:t>
      </w:r>
      <w:r w:rsidRPr="00B4467C">
        <w:rPr>
          <w:rFonts w:ascii="仿宋_GB2312" w:eastAsia="仿宋_GB2312"/>
          <w:color w:val="000000"/>
          <w:spacing w:val="-4"/>
          <w:sz w:val="32"/>
          <w:szCs w:val="32"/>
        </w:rPr>
        <w:t>83.33%</w:t>
      </w:r>
      <w:r w:rsidRPr="00B4467C">
        <w:rPr>
          <w:rFonts w:ascii="仿宋_GB2312" w:eastAsia="仿宋_GB2312" w:hint="eastAsia"/>
          <w:color w:val="000000"/>
          <w:spacing w:val="-4"/>
          <w:sz w:val="32"/>
          <w:szCs w:val="32"/>
        </w:rPr>
        <w:t>；结案</w:t>
      </w:r>
      <w:r w:rsidRPr="00B4467C">
        <w:rPr>
          <w:rFonts w:ascii="仿宋_GB2312" w:eastAsia="仿宋_GB2312"/>
          <w:color w:val="000000"/>
          <w:spacing w:val="-4"/>
          <w:sz w:val="32"/>
          <w:szCs w:val="32"/>
        </w:rPr>
        <w:t>4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</w:t>
      </w:r>
      <w:r>
        <w:rPr>
          <w:rFonts w:ascii="仿宋_GB2312" w:eastAsia="仿宋_GB2312" w:hint="eastAsia"/>
          <w:color w:val="000000"/>
          <w:sz w:val="32"/>
          <w:szCs w:val="32"/>
        </w:rPr>
        <w:t>同比下降</w:t>
      </w:r>
      <w:r>
        <w:rPr>
          <w:rFonts w:ascii="仿宋_GB2312" w:eastAsia="仿宋_GB2312"/>
          <w:color w:val="000000"/>
          <w:sz w:val="32"/>
          <w:szCs w:val="32"/>
        </w:rPr>
        <w:t>55.56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；未结案</w:t>
      </w:r>
      <w:r>
        <w:rPr>
          <w:rFonts w:ascii="仿宋_GB2312" w:eastAsia="仿宋_GB2312"/>
          <w:color w:val="000000"/>
          <w:sz w:val="32"/>
          <w:szCs w:val="32"/>
        </w:rPr>
        <w:t>21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件，同比</w:t>
      </w:r>
      <w:r>
        <w:rPr>
          <w:rFonts w:ascii="仿宋_GB2312" w:eastAsia="仿宋_GB2312" w:hint="eastAsia"/>
          <w:color w:val="000000"/>
          <w:sz w:val="32"/>
          <w:szCs w:val="32"/>
        </w:rPr>
        <w:t>上升</w:t>
      </w:r>
      <w:r>
        <w:rPr>
          <w:rFonts w:ascii="仿宋_GB2312" w:eastAsia="仿宋_GB2312"/>
          <w:color w:val="000000"/>
          <w:sz w:val="32"/>
          <w:szCs w:val="32"/>
        </w:rPr>
        <w:t>50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62DCF" w:rsidRPr="00291DA3" w:rsidRDefault="00D62DCF" w:rsidP="00697B1E">
      <w:pPr>
        <w:spacing w:line="534" w:lineRule="exact"/>
        <w:ind w:firstLineChars="200" w:firstLine="640"/>
        <w:rPr>
          <w:rFonts w:ascii="楷体_GB2312" w:eastAsia="楷体_GB2312"/>
          <w:b/>
          <w:color w:val="000000"/>
          <w:sz w:val="32"/>
          <w:szCs w:val="32"/>
        </w:rPr>
      </w:pPr>
      <w:r>
        <w:rPr>
          <w:rFonts w:ascii="楷体_GB2312" w:eastAsia="楷体_GB2312"/>
          <w:b/>
          <w:color w:val="000000"/>
          <w:sz w:val="32"/>
          <w:szCs w:val="32"/>
        </w:rPr>
        <w:t>4</w:t>
      </w:r>
      <w:r w:rsidRPr="00291DA3">
        <w:rPr>
          <w:rFonts w:ascii="楷体_GB2312" w:eastAsia="楷体_GB2312" w:hint="eastAsia"/>
          <w:b/>
          <w:color w:val="000000"/>
          <w:sz w:val="32"/>
          <w:szCs w:val="32"/>
        </w:rPr>
        <w:t>、行政非诉审查案件</w:t>
      </w:r>
    </w:p>
    <w:p w:rsidR="00D62DCF" w:rsidRPr="007510F8" w:rsidRDefault="00D62DCF" w:rsidP="00697B1E">
      <w:pPr>
        <w:spacing w:line="534" w:lineRule="exact"/>
        <w:ind w:firstLineChars="200" w:firstLine="640"/>
        <w:rPr>
          <w:rFonts w:ascii="仿宋_GB2312" w:eastAsia="仿宋_GB2312"/>
          <w:color w:val="000000"/>
          <w:spacing w:val="-4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 w:rsidRPr="00B4467C">
        <w:rPr>
          <w:rFonts w:ascii="仿宋_GB2312" w:eastAsia="仿宋_GB2312"/>
          <w:color w:val="000000"/>
          <w:spacing w:val="-6"/>
          <w:sz w:val="32"/>
          <w:szCs w:val="32"/>
        </w:rPr>
        <w:t>020</w:t>
      </w:r>
      <w:r w:rsidRPr="00B4467C">
        <w:rPr>
          <w:rFonts w:ascii="仿宋_GB2312" w:eastAsia="仿宋_GB2312" w:hint="eastAsia"/>
          <w:color w:val="000000"/>
          <w:spacing w:val="-6"/>
          <w:sz w:val="32"/>
          <w:szCs w:val="32"/>
        </w:rPr>
        <w:t>年</w:t>
      </w:r>
      <w:r w:rsidRPr="00B4467C">
        <w:rPr>
          <w:rFonts w:ascii="仿宋_GB2312" w:eastAsia="仿宋_GB2312"/>
          <w:color w:val="000000"/>
          <w:spacing w:val="-6"/>
          <w:sz w:val="32"/>
          <w:szCs w:val="32"/>
        </w:rPr>
        <w:t>1-2</w:t>
      </w:r>
      <w:r w:rsidRPr="00B4467C">
        <w:rPr>
          <w:rFonts w:ascii="仿宋_GB2312" w:eastAsia="仿宋_GB2312" w:hint="eastAsia"/>
          <w:color w:val="000000"/>
          <w:spacing w:val="-6"/>
          <w:sz w:val="32"/>
          <w:szCs w:val="32"/>
        </w:rPr>
        <w:t>月，新收行政非诉审查案件</w:t>
      </w:r>
      <w:r w:rsidRPr="00B4467C">
        <w:rPr>
          <w:rFonts w:ascii="仿宋_GB2312" w:eastAsia="仿宋_GB2312"/>
          <w:color w:val="000000"/>
          <w:spacing w:val="-6"/>
          <w:sz w:val="32"/>
          <w:szCs w:val="32"/>
        </w:rPr>
        <w:t>7</w:t>
      </w:r>
      <w:r w:rsidRPr="00B4467C">
        <w:rPr>
          <w:rFonts w:ascii="仿宋_GB2312" w:eastAsia="仿宋_GB2312" w:hint="eastAsia"/>
          <w:color w:val="000000"/>
          <w:spacing w:val="-6"/>
          <w:sz w:val="32"/>
          <w:szCs w:val="32"/>
        </w:rPr>
        <w:t>件，同比下降</w:t>
      </w:r>
      <w:r>
        <w:rPr>
          <w:rFonts w:ascii="仿宋_GB2312" w:eastAsia="仿宋_GB2312"/>
          <w:color w:val="000000"/>
          <w:sz w:val="32"/>
          <w:szCs w:val="32"/>
        </w:rPr>
        <w:t>53.33</w:t>
      </w:r>
      <w:r w:rsidRPr="00291DA3">
        <w:rPr>
          <w:rFonts w:ascii="仿宋_GB2312" w:eastAsia="仿宋_GB2312"/>
          <w:color w:val="000000"/>
          <w:sz w:val="32"/>
          <w:szCs w:val="32"/>
        </w:rPr>
        <w:t>%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；结案</w:t>
      </w:r>
      <w:r>
        <w:rPr>
          <w:rFonts w:ascii="仿宋_GB2312" w:eastAsia="仿宋_GB2312"/>
          <w:color w:val="000000"/>
          <w:sz w:val="32"/>
          <w:szCs w:val="32"/>
        </w:rPr>
        <w:t>7</w:t>
      </w:r>
      <w:r w:rsidRPr="00291DA3">
        <w:rPr>
          <w:rFonts w:ascii="仿宋_GB2312" w:eastAsia="仿宋_GB2312" w:hint="eastAsia"/>
          <w:color w:val="000000"/>
          <w:sz w:val="32"/>
          <w:szCs w:val="32"/>
        </w:rPr>
        <w:t>件，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同比下降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53.33%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；未结案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0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件，与去年持平。</w:t>
      </w:r>
    </w:p>
    <w:p w:rsidR="00D62DCF" w:rsidRPr="007510F8" w:rsidRDefault="00D62DCF" w:rsidP="00697B1E">
      <w:pPr>
        <w:spacing w:line="534" w:lineRule="exact"/>
        <w:ind w:firstLineChars="200" w:firstLine="624"/>
        <w:rPr>
          <w:rFonts w:ascii="楷体_GB2312" w:eastAsia="楷体_GB2312"/>
          <w:b/>
          <w:color w:val="000000"/>
          <w:spacing w:val="-4"/>
          <w:sz w:val="32"/>
          <w:szCs w:val="32"/>
        </w:rPr>
      </w:pPr>
      <w:r w:rsidRPr="007510F8">
        <w:rPr>
          <w:rFonts w:ascii="楷体_GB2312" w:eastAsia="楷体_GB2312"/>
          <w:b/>
          <w:color w:val="000000"/>
          <w:spacing w:val="-4"/>
          <w:sz w:val="32"/>
          <w:szCs w:val="32"/>
        </w:rPr>
        <w:lastRenderedPageBreak/>
        <w:t>5</w:t>
      </w:r>
      <w:r w:rsidRPr="007510F8">
        <w:rPr>
          <w:rFonts w:ascii="楷体_GB2312" w:eastAsia="楷体_GB2312" w:hint="eastAsia"/>
          <w:b/>
          <w:color w:val="000000"/>
          <w:spacing w:val="-4"/>
          <w:sz w:val="32"/>
          <w:szCs w:val="32"/>
        </w:rPr>
        <w:t>、民事特别程序案件</w:t>
      </w:r>
    </w:p>
    <w:p w:rsidR="00D62DCF" w:rsidRPr="007510F8" w:rsidRDefault="00D62DCF" w:rsidP="00697B1E">
      <w:pPr>
        <w:spacing w:line="534" w:lineRule="exact"/>
        <w:ind w:firstLineChars="200" w:firstLine="624"/>
        <w:rPr>
          <w:rFonts w:ascii="仿宋_GB2312" w:eastAsia="仿宋_GB2312"/>
          <w:color w:val="000000"/>
          <w:spacing w:val="-4"/>
          <w:sz w:val="32"/>
          <w:szCs w:val="32"/>
        </w:rPr>
      </w:pP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2</w:t>
      </w:r>
      <w:r w:rsidRPr="007510F8">
        <w:rPr>
          <w:rFonts w:ascii="仿宋_GB2312" w:eastAsia="仿宋_GB2312"/>
          <w:color w:val="000000"/>
          <w:sz w:val="32"/>
          <w:szCs w:val="32"/>
        </w:rPr>
        <w:t>020</w:t>
      </w:r>
      <w:r w:rsidRPr="007510F8">
        <w:rPr>
          <w:rFonts w:ascii="仿宋_GB2312" w:eastAsia="仿宋_GB2312" w:hint="eastAsia"/>
          <w:color w:val="000000"/>
          <w:sz w:val="32"/>
          <w:szCs w:val="32"/>
        </w:rPr>
        <w:t>年</w:t>
      </w:r>
      <w:r w:rsidRPr="007510F8">
        <w:rPr>
          <w:rFonts w:ascii="仿宋_GB2312" w:eastAsia="仿宋_GB2312"/>
          <w:color w:val="000000"/>
          <w:sz w:val="32"/>
          <w:szCs w:val="32"/>
        </w:rPr>
        <w:t>1-2</w:t>
      </w:r>
      <w:r w:rsidRPr="007510F8">
        <w:rPr>
          <w:rFonts w:ascii="仿宋_GB2312" w:eastAsia="仿宋_GB2312" w:hint="eastAsia"/>
          <w:color w:val="000000"/>
          <w:sz w:val="32"/>
          <w:szCs w:val="32"/>
        </w:rPr>
        <w:t>月，新收民事特别程序案件</w:t>
      </w:r>
      <w:r w:rsidRPr="007510F8">
        <w:rPr>
          <w:rFonts w:ascii="仿宋_GB2312" w:eastAsia="仿宋_GB2312"/>
          <w:color w:val="000000"/>
          <w:sz w:val="32"/>
          <w:szCs w:val="32"/>
        </w:rPr>
        <w:t>565</w:t>
      </w:r>
      <w:r w:rsidRPr="007510F8">
        <w:rPr>
          <w:rFonts w:ascii="仿宋_GB2312" w:eastAsia="仿宋_GB2312" w:hint="eastAsia"/>
          <w:color w:val="000000"/>
          <w:sz w:val="32"/>
          <w:szCs w:val="32"/>
        </w:rPr>
        <w:t>件，同比下降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44.44%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；结案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262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件，同比下降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65.16%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；未结案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98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件，同比上升</w:t>
      </w:r>
      <w:r w:rsidRPr="007510F8">
        <w:rPr>
          <w:rFonts w:ascii="仿宋_GB2312" w:eastAsia="仿宋_GB2312"/>
          <w:color w:val="000000"/>
          <w:spacing w:val="-4"/>
          <w:sz w:val="32"/>
          <w:szCs w:val="32"/>
        </w:rPr>
        <w:t>84.91%</w:t>
      </w:r>
      <w:r w:rsidRPr="007510F8">
        <w:rPr>
          <w:rFonts w:ascii="仿宋_GB2312" w:eastAsia="仿宋_GB2312" w:hint="eastAsia"/>
          <w:color w:val="000000"/>
          <w:spacing w:val="-4"/>
          <w:sz w:val="32"/>
          <w:szCs w:val="32"/>
        </w:rPr>
        <w:t>。</w:t>
      </w:r>
    </w:p>
    <w:sectPr w:rsidR="00D62DCF" w:rsidRPr="007510F8" w:rsidSect="00C23778">
      <w:footerReference w:type="even" r:id="rId8"/>
      <w:footerReference w:type="default" r:id="rId9"/>
      <w:pgSz w:w="11906" w:h="16838" w:code="9"/>
      <w:pgMar w:top="1871" w:right="1474" w:bottom="1588" w:left="1474" w:header="851" w:footer="1418" w:gutter="0"/>
      <w:cols w:space="425"/>
      <w:docGrid w:linePitch="313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197" w:rsidRDefault="001A1197" w:rsidP="00D31BD1">
      <w:r>
        <w:separator/>
      </w:r>
    </w:p>
  </w:endnote>
  <w:endnote w:type="continuationSeparator" w:id="1">
    <w:p w:rsidR="001A1197" w:rsidRDefault="001A1197" w:rsidP="00D3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CF" w:rsidRDefault="00463B27" w:rsidP="00C237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2D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DCF">
      <w:rPr>
        <w:rStyle w:val="a6"/>
        <w:noProof/>
      </w:rPr>
      <w:t>18</w:t>
    </w:r>
    <w:r>
      <w:rPr>
        <w:rStyle w:val="a6"/>
      </w:rPr>
      <w:fldChar w:fldCharType="end"/>
    </w:r>
  </w:p>
  <w:p w:rsidR="00D62DCF" w:rsidRDefault="00D62D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CF" w:rsidRDefault="00463B27" w:rsidP="00C2377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2D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B1E">
      <w:rPr>
        <w:rStyle w:val="a6"/>
        <w:noProof/>
      </w:rPr>
      <w:t>2</w:t>
    </w:r>
    <w:r>
      <w:rPr>
        <w:rStyle w:val="a6"/>
      </w:rPr>
      <w:fldChar w:fldCharType="end"/>
    </w:r>
  </w:p>
  <w:p w:rsidR="00D62DCF" w:rsidRDefault="00D62D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197" w:rsidRDefault="001A1197" w:rsidP="00D31BD1">
      <w:r>
        <w:separator/>
      </w:r>
    </w:p>
  </w:footnote>
  <w:footnote w:type="continuationSeparator" w:id="1">
    <w:p w:rsidR="001A1197" w:rsidRDefault="001A1197" w:rsidP="00D31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659D"/>
    <w:multiLevelType w:val="hybridMultilevel"/>
    <w:tmpl w:val="F01AA5D0"/>
    <w:lvl w:ilvl="0" w:tplc="48B22B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6DE6972"/>
    <w:multiLevelType w:val="hybridMultilevel"/>
    <w:tmpl w:val="70968D2E"/>
    <w:lvl w:ilvl="0" w:tplc="915C021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8C20F6D"/>
    <w:multiLevelType w:val="hybridMultilevel"/>
    <w:tmpl w:val="FC7A8A0A"/>
    <w:lvl w:ilvl="0" w:tplc="CDE8D2BC">
      <w:start w:val="1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3">
    <w:nsid w:val="4B525D14"/>
    <w:multiLevelType w:val="hybridMultilevel"/>
    <w:tmpl w:val="D2687388"/>
    <w:lvl w:ilvl="0" w:tplc="BCFA3C90">
      <w:start w:val="1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  <w:rPr>
        <w:rFonts w:cs="Times New Roman"/>
      </w:rPr>
    </w:lvl>
  </w:abstractNum>
  <w:abstractNum w:abstractNumId="4">
    <w:nsid w:val="5B5B00B2"/>
    <w:multiLevelType w:val="hybridMultilevel"/>
    <w:tmpl w:val="AB462E0C"/>
    <w:lvl w:ilvl="0" w:tplc="5384643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D62"/>
    <w:rsid w:val="00011C7E"/>
    <w:rsid w:val="00015EF4"/>
    <w:rsid w:val="00031364"/>
    <w:rsid w:val="00031F66"/>
    <w:rsid w:val="00053F09"/>
    <w:rsid w:val="000554B3"/>
    <w:rsid w:val="000623DA"/>
    <w:rsid w:val="00063B9D"/>
    <w:rsid w:val="00073129"/>
    <w:rsid w:val="00090789"/>
    <w:rsid w:val="000A20D9"/>
    <w:rsid w:val="000B0E3E"/>
    <w:rsid w:val="000B2208"/>
    <w:rsid w:val="000B6F51"/>
    <w:rsid w:val="000E400A"/>
    <w:rsid w:val="000E4D75"/>
    <w:rsid w:val="000F3035"/>
    <w:rsid w:val="0010528C"/>
    <w:rsid w:val="00112FA7"/>
    <w:rsid w:val="00117309"/>
    <w:rsid w:val="001221AD"/>
    <w:rsid w:val="001303CD"/>
    <w:rsid w:val="00140F80"/>
    <w:rsid w:val="001428F5"/>
    <w:rsid w:val="0015063C"/>
    <w:rsid w:val="00162596"/>
    <w:rsid w:val="00164ECE"/>
    <w:rsid w:val="00174D35"/>
    <w:rsid w:val="001914BE"/>
    <w:rsid w:val="001918D5"/>
    <w:rsid w:val="001A1197"/>
    <w:rsid w:val="001A3B85"/>
    <w:rsid w:val="001A49A9"/>
    <w:rsid w:val="001B1098"/>
    <w:rsid w:val="001B3710"/>
    <w:rsid w:val="001B6D8A"/>
    <w:rsid w:val="001C0109"/>
    <w:rsid w:val="001C5DB2"/>
    <w:rsid w:val="001C7642"/>
    <w:rsid w:val="001D29AE"/>
    <w:rsid w:val="001E2965"/>
    <w:rsid w:val="001F11B5"/>
    <w:rsid w:val="001F4752"/>
    <w:rsid w:val="002005C4"/>
    <w:rsid w:val="002028C8"/>
    <w:rsid w:val="00212DA6"/>
    <w:rsid w:val="002155FC"/>
    <w:rsid w:val="002223D2"/>
    <w:rsid w:val="002273D3"/>
    <w:rsid w:val="00234F2C"/>
    <w:rsid w:val="002409B8"/>
    <w:rsid w:val="00242B68"/>
    <w:rsid w:val="00242D21"/>
    <w:rsid w:val="0024551F"/>
    <w:rsid w:val="00255CB9"/>
    <w:rsid w:val="00262313"/>
    <w:rsid w:val="00272731"/>
    <w:rsid w:val="002748B5"/>
    <w:rsid w:val="00280800"/>
    <w:rsid w:val="002816FF"/>
    <w:rsid w:val="00286AFC"/>
    <w:rsid w:val="00291DA3"/>
    <w:rsid w:val="00296756"/>
    <w:rsid w:val="00297375"/>
    <w:rsid w:val="002A5C14"/>
    <w:rsid w:val="002B67C5"/>
    <w:rsid w:val="002C21D4"/>
    <w:rsid w:val="002D2679"/>
    <w:rsid w:val="002D33AB"/>
    <w:rsid w:val="002D7F01"/>
    <w:rsid w:val="002F313F"/>
    <w:rsid w:val="00303345"/>
    <w:rsid w:val="00315FAD"/>
    <w:rsid w:val="0034319D"/>
    <w:rsid w:val="003441C8"/>
    <w:rsid w:val="0036122C"/>
    <w:rsid w:val="00363D1F"/>
    <w:rsid w:val="00367B4E"/>
    <w:rsid w:val="003722FE"/>
    <w:rsid w:val="00377319"/>
    <w:rsid w:val="0038659F"/>
    <w:rsid w:val="00394B90"/>
    <w:rsid w:val="00396670"/>
    <w:rsid w:val="003A3C98"/>
    <w:rsid w:val="003C3BBD"/>
    <w:rsid w:val="003D6B91"/>
    <w:rsid w:val="003E0A06"/>
    <w:rsid w:val="003F2911"/>
    <w:rsid w:val="00402B4A"/>
    <w:rsid w:val="0040485B"/>
    <w:rsid w:val="00410925"/>
    <w:rsid w:val="004128EE"/>
    <w:rsid w:val="00417CC8"/>
    <w:rsid w:val="00420ABB"/>
    <w:rsid w:val="00450F37"/>
    <w:rsid w:val="00463B27"/>
    <w:rsid w:val="00483DED"/>
    <w:rsid w:val="00495809"/>
    <w:rsid w:val="00496566"/>
    <w:rsid w:val="004A5A04"/>
    <w:rsid w:val="004A6444"/>
    <w:rsid w:val="004B2624"/>
    <w:rsid w:val="004B2F77"/>
    <w:rsid w:val="004C5D55"/>
    <w:rsid w:val="00501A91"/>
    <w:rsid w:val="0050315C"/>
    <w:rsid w:val="005061FA"/>
    <w:rsid w:val="00513D48"/>
    <w:rsid w:val="00530315"/>
    <w:rsid w:val="00537D9E"/>
    <w:rsid w:val="00560EB8"/>
    <w:rsid w:val="00581CB7"/>
    <w:rsid w:val="005875E9"/>
    <w:rsid w:val="005917EC"/>
    <w:rsid w:val="00596E12"/>
    <w:rsid w:val="00596F2A"/>
    <w:rsid w:val="005A2FBF"/>
    <w:rsid w:val="005B1A53"/>
    <w:rsid w:val="005B26CE"/>
    <w:rsid w:val="005B7C4F"/>
    <w:rsid w:val="005C282F"/>
    <w:rsid w:val="005E0CD2"/>
    <w:rsid w:val="005E2F7B"/>
    <w:rsid w:val="005F5FDE"/>
    <w:rsid w:val="00614640"/>
    <w:rsid w:val="00624ED9"/>
    <w:rsid w:val="00630C7D"/>
    <w:rsid w:val="0064486C"/>
    <w:rsid w:val="00644E2A"/>
    <w:rsid w:val="00661530"/>
    <w:rsid w:val="00662146"/>
    <w:rsid w:val="00663366"/>
    <w:rsid w:val="006643DB"/>
    <w:rsid w:val="006748F4"/>
    <w:rsid w:val="0068454F"/>
    <w:rsid w:val="00690D0C"/>
    <w:rsid w:val="00691519"/>
    <w:rsid w:val="00697B1E"/>
    <w:rsid w:val="006B2D20"/>
    <w:rsid w:val="006B34B3"/>
    <w:rsid w:val="006B62CB"/>
    <w:rsid w:val="006B705A"/>
    <w:rsid w:val="006C4939"/>
    <w:rsid w:val="006C5297"/>
    <w:rsid w:val="006D718A"/>
    <w:rsid w:val="006D7732"/>
    <w:rsid w:val="006E229F"/>
    <w:rsid w:val="006E3CD5"/>
    <w:rsid w:val="00703CDA"/>
    <w:rsid w:val="007254EC"/>
    <w:rsid w:val="00725F91"/>
    <w:rsid w:val="0073198E"/>
    <w:rsid w:val="00743302"/>
    <w:rsid w:val="0074546B"/>
    <w:rsid w:val="00745BCF"/>
    <w:rsid w:val="00746547"/>
    <w:rsid w:val="007467A1"/>
    <w:rsid w:val="00747C38"/>
    <w:rsid w:val="00750846"/>
    <w:rsid w:val="007510F8"/>
    <w:rsid w:val="0075676B"/>
    <w:rsid w:val="00756D34"/>
    <w:rsid w:val="007577D9"/>
    <w:rsid w:val="00772B0C"/>
    <w:rsid w:val="007757DC"/>
    <w:rsid w:val="007843A9"/>
    <w:rsid w:val="0078768D"/>
    <w:rsid w:val="007A6AC1"/>
    <w:rsid w:val="007D3E60"/>
    <w:rsid w:val="007D47C2"/>
    <w:rsid w:val="007D4BAB"/>
    <w:rsid w:val="007D53B0"/>
    <w:rsid w:val="007E126D"/>
    <w:rsid w:val="007F24CA"/>
    <w:rsid w:val="008028CC"/>
    <w:rsid w:val="008206C5"/>
    <w:rsid w:val="00820916"/>
    <w:rsid w:val="00824553"/>
    <w:rsid w:val="00844833"/>
    <w:rsid w:val="008544A2"/>
    <w:rsid w:val="00857C54"/>
    <w:rsid w:val="0086353C"/>
    <w:rsid w:val="00864D62"/>
    <w:rsid w:val="00877D55"/>
    <w:rsid w:val="00884DB4"/>
    <w:rsid w:val="008863C8"/>
    <w:rsid w:val="008A3330"/>
    <w:rsid w:val="008B127B"/>
    <w:rsid w:val="008B4454"/>
    <w:rsid w:val="008B671C"/>
    <w:rsid w:val="008C1866"/>
    <w:rsid w:val="008C2CA1"/>
    <w:rsid w:val="008C41F2"/>
    <w:rsid w:val="008D0F72"/>
    <w:rsid w:val="008D712E"/>
    <w:rsid w:val="008F070A"/>
    <w:rsid w:val="008F0C38"/>
    <w:rsid w:val="008F2F8E"/>
    <w:rsid w:val="00902396"/>
    <w:rsid w:val="00905255"/>
    <w:rsid w:val="009211BF"/>
    <w:rsid w:val="00925DCF"/>
    <w:rsid w:val="0093240A"/>
    <w:rsid w:val="0093384B"/>
    <w:rsid w:val="00942A96"/>
    <w:rsid w:val="00970E56"/>
    <w:rsid w:val="009860ED"/>
    <w:rsid w:val="0099420D"/>
    <w:rsid w:val="00997153"/>
    <w:rsid w:val="00997C43"/>
    <w:rsid w:val="009A5B8B"/>
    <w:rsid w:val="009C7EDC"/>
    <w:rsid w:val="009D5D8E"/>
    <w:rsid w:val="009E1164"/>
    <w:rsid w:val="009F3D27"/>
    <w:rsid w:val="00A01D17"/>
    <w:rsid w:val="00A11459"/>
    <w:rsid w:val="00A15A43"/>
    <w:rsid w:val="00A26847"/>
    <w:rsid w:val="00A36FCC"/>
    <w:rsid w:val="00A60BAA"/>
    <w:rsid w:val="00A61324"/>
    <w:rsid w:val="00A84260"/>
    <w:rsid w:val="00A876CC"/>
    <w:rsid w:val="00A96761"/>
    <w:rsid w:val="00AC51D3"/>
    <w:rsid w:val="00AD2A93"/>
    <w:rsid w:val="00AD50DB"/>
    <w:rsid w:val="00AE3A7E"/>
    <w:rsid w:val="00AE487C"/>
    <w:rsid w:val="00AF27A7"/>
    <w:rsid w:val="00B03FD8"/>
    <w:rsid w:val="00B1246C"/>
    <w:rsid w:val="00B12F19"/>
    <w:rsid w:val="00B4467C"/>
    <w:rsid w:val="00B519C0"/>
    <w:rsid w:val="00B6313D"/>
    <w:rsid w:val="00B802E6"/>
    <w:rsid w:val="00B813C1"/>
    <w:rsid w:val="00B8220E"/>
    <w:rsid w:val="00BB6D78"/>
    <w:rsid w:val="00BC195F"/>
    <w:rsid w:val="00BC78F6"/>
    <w:rsid w:val="00BD0556"/>
    <w:rsid w:val="00BD39B4"/>
    <w:rsid w:val="00BE33F4"/>
    <w:rsid w:val="00BF5419"/>
    <w:rsid w:val="00BF5FA7"/>
    <w:rsid w:val="00BF6262"/>
    <w:rsid w:val="00BF70F3"/>
    <w:rsid w:val="00C10D71"/>
    <w:rsid w:val="00C23778"/>
    <w:rsid w:val="00C306DD"/>
    <w:rsid w:val="00C43936"/>
    <w:rsid w:val="00C448E4"/>
    <w:rsid w:val="00C668C2"/>
    <w:rsid w:val="00C77BCB"/>
    <w:rsid w:val="00C80C6F"/>
    <w:rsid w:val="00CB1481"/>
    <w:rsid w:val="00CB1D32"/>
    <w:rsid w:val="00CB6709"/>
    <w:rsid w:val="00CD63CF"/>
    <w:rsid w:val="00CE341E"/>
    <w:rsid w:val="00CE5EED"/>
    <w:rsid w:val="00CE7154"/>
    <w:rsid w:val="00CF461D"/>
    <w:rsid w:val="00CF7745"/>
    <w:rsid w:val="00D01154"/>
    <w:rsid w:val="00D21A0F"/>
    <w:rsid w:val="00D3059D"/>
    <w:rsid w:val="00D31BD1"/>
    <w:rsid w:val="00D330C5"/>
    <w:rsid w:val="00D453A2"/>
    <w:rsid w:val="00D55849"/>
    <w:rsid w:val="00D564DF"/>
    <w:rsid w:val="00D57716"/>
    <w:rsid w:val="00D62DCF"/>
    <w:rsid w:val="00D64CA7"/>
    <w:rsid w:val="00D76A7C"/>
    <w:rsid w:val="00D84ADF"/>
    <w:rsid w:val="00D96F2C"/>
    <w:rsid w:val="00DA23F5"/>
    <w:rsid w:val="00DA39FF"/>
    <w:rsid w:val="00DB206B"/>
    <w:rsid w:val="00DB6855"/>
    <w:rsid w:val="00DB72CF"/>
    <w:rsid w:val="00DD7C95"/>
    <w:rsid w:val="00DE0C9A"/>
    <w:rsid w:val="00DE134C"/>
    <w:rsid w:val="00DF5509"/>
    <w:rsid w:val="00E00703"/>
    <w:rsid w:val="00E0286A"/>
    <w:rsid w:val="00E05CBF"/>
    <w:rsid w:val="00E11021"/>
    <w:rsid w:val="00E1592A"/>
    <w:rsid w:val="00E2737A"/>
    <w:rsid w:val="00E27FE2"/>
    <w:rsid w:val="00E40269"/>
    <w:rsid w:val="00E518CB"/>
    <w:rsid w:val="00E520D6"/>
    <w:rsid w:val="00E5210D"/>
    <w:rsid w:val="00E57390"/>
    <w:rsid w:val="00E83F38"/>
    <w:rsid w:val="00EA1EB2"/>
    <w:rsid w:val="00EB2A31"/>
    <w:rsid w:val="00EB72A3"/>
    <w:rsid w:val="00EC3BB8"/>
    <w:rsid w:val="00EC764F"/>
    <w:rsid w:val="00ED53CC"/>
    <w:rsid w:val="00EE1A69"/>
    <w:rsid w:val="00EE3B1B"/>
    <w:rsid w:val="00F0741F"/>
    <w:rsid w:val="00F22B7D"/>
    <w:rsid w:val="00F5373D"/>
    <w:rsid w:val="00F54211"/>
    <w:rsid w:val="00F60162"/>
    <w:rsid w:val="00F73635"/>
    <w:rsid w:val="00F929F2"/>
    <w:rsid w:val="00F95089"/>
    <w:rsid w:val="00FA637A"/>
    <w:rsid w:val="00FB074F"/>
    <w:rsid w:val="00FC0E69"/>
    <w:rsid w:val="00FE095A"/>
    <w:rsid w:val="00FE2551"/>
    <w:rsid w:val="00F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6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6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64D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6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64D6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99"/>
    <w:rsid w:val="00864D6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864D62"/>
    <w:rPr>
      <w:rFonts w:cs="Times New Roman"/>
    </w:rPr>
  </w:style>
  <w:style w:type="paragraph" w:styleId="a7">
    <w:name w:val="Balloon Text"/>
    <w:basedOn w:val="a"/>
    <w:link w:val="Char1"/>
    <w:uiPriority w:val="99"/>
    <w:semiHidden/>
    <w:rsid w:val="00864D6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864D62"/>
    <w:rPr>
      <w:rFonts w:ascii="Times New Roman" w:eastAsia="宋体" w:hAnsi="Times New Roman" w:cs="Times New Roman"/>
      <w:sz w:val="18"/>
      <w:szCs w:val="18"/>
    </w:rPr>
  </w:style>
  <w:style w:type="character" w:customStyle="1" w:styleId="textitem">
    <w:name w:val="textitem"/>
    <w:basedOn w:val="a0"/>
    <w:uiPriority w:val="99"/>
    <w:rsid w:val="00864D62"/>
    <w:rPr>
      <w:rFonts w:cs="Times New Roman"/>
    </w:rPr>
  </w:style>
  <w:style w:type="paragraph" w:styleId="a8">
    <w:name w:val="footnote text"/>
    <w:basedOn w:val="a"/>
    <w:link w:val="Char2"/>
    <w:uiPriority w:val="99"/>
    <w:semiHidden/>
    <w:rsid w:val="00864D6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locked/>
    <w:rsid w:val="00864D62"/>
    <w:rPr>
      <w:rFonts w:ascii="Times New Roman" w:eastAsia="宋体" w:hAnsi="Times New Roman" w:cs="Times New Roman"/>
      <w:sz w:val="18"/>
      <w:szCs w:val="18"/>
    </w:rPr>
  </w:style>
  <w:style w:type="character" w:styleId="a9">
    <w:name w:val="footnote reference"/>
    <w:basedOn w:val="a0"/>
    <w:uiPriority w:val="99"/>
    <w:semiHidden/>
    <w:rsid w:val="00864D62"/>
    <w:rPr>
      <w:rFonts w:cs="Times New Roman"/>
      <w:vertAlign w:val="superscript"/>
    </w:rPr>
  </w:style>
  <w:style w:type="character" w:customStyle="1" w:styleId="hy1">
    <w:name w:val="hy1"/>
    <w:uiPriority w:val="99"/>
    <w:rsid w:val="00864D62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rsid w:val="00864D6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locked/>
    <w:rsid w:val="00864D6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864D62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locked/>
    <w:rsid w:val="00864D62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Char10">
    <w:name w:val="脚注文本 Char1"/>
    <w:uiPriority w:val="99"/>
    <w:locked/>
    <w:rsid w:val="00864D62"/>
    <w:rPr>
      <w:rFonts w:ascii="Calibri" w:eastAsia="仿宋_GB2312" w:hAnsi="Calibri"/>
      <w:kern w:val="2"/>
      <w:sz w:val="18"/>
    </w:rPr>
  </w:style>
  <w:style w:type="paragraph" w:styleId="aa">
    <w:name w:val="Date"/>
    <w:basedOn w:val="a"/>
    <w:next w:val="a"/>
    <w:link w:val="Char3"/>
    <w:uiPriority w:val="99"/>
    <w:rsid w:val="00864D62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locked/>
    <w:rsid w:val="00864D62"/>
    <w:rPr>
      <w:rFonts w:ascii="Times New Roman" w:eastAsia="宋体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864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864D62"/>
    <w:pPr>
      <w:ind w:firstLineChars="200" w:firstLine="420"/>
    </w:pPr>
    <w:rPr>
      <w:rFonts w:ascii="Calibri" w:hAnsi="Calibri" w:cs="Calibri"/>
      <w:szCs w:val="21"/>
    </w:rPr>
  </w:style>
  <w:style w:type="character" w:styleId="ad">
    <w:name w:val="Hyperlink"/>
    <w:basedOn w:val="a0"/>
    <w:uiPriority w:val="99"/>
    <w:rsid w:val="00864D6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864D62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64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864D6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4">
    <w:name w:val="xl64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5">
    <w:name w:val="xl65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6">
    <w:name w:val="xl66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7">
    <w:name w:val="xl67"/>
    <w:basedOn w:val="a"/>
    <w:uiPriority w:val="99"/>
    <w:rsid w:val="00864D6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8">
    <w:name w:val="xl68"/>
    <w:basedOn w:val="a"/>
    <w:uiPriority w:val="99"/>
    <w:rsid w:val="00864D6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69">
    <w:name w:val="xl69"/>
    <w:basedOn w:val="a"/>
    <w:uiPriority w:val="99"/>
    <w:rsid w:val="00864D62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0">
    <w:name w:val="xl70"/>
    <w:basedOn w:val="a"/>
    <w:uiPriority w:val="99"/>
    <w:rsid w:val="00864D62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uiPriority w:val="99"/>
    <w:rsid w:val="00864D6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uiPriority w:val="99"/>
    <w:rsid w:val="00864D6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font6">
    <w:name w:val="font6"/>
    <w:basedOn w:val="a"/>
    <w:uiPriority w:val="99"/>
    <w:rsid w:val="00864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paragraph" w:customStyle="1" w:styleId="xl76">
    <w:name w:val="xl76"/>
    <w:basedOn w:val="a"/>
    <w:uiPriority w:val="99"/>
    <w:rsid w:val="00864D62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paragraph" w:customStyle="1" w:styleId="xl77">
    <w:name w:val="xl77"/>
    <w:basedOn w:val="a"/>
    <w:uiPriority w:val="99"/>
    <w:rsid w:val="00864D6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eastAsia="仿宋_GB2312" w:hAnsi="宋体" w:cs="仿宋_GB2312"/>
      <w:kern w:val="0"/>
      <w:sz w:val="28"/>
      <w:szCs w:val="28"/>
    </w:rPr>
  </w:style>
  <w:style w:type="paragraph" w:customStyle="1" w:styleId="xl78">
    <w:name w:val="xl78"/>
    <w:basedOn w:val="a"/>
    <w:uiPriority w:val="99"/>
    <w:rsid w:val="00864D6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9">
    <w:name w:val="xl79"/>
    <w:basedOn w:val="a"/>
    <w:uiPriority w:val="99"/>
    <w:rsid w:val="00864D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uiPriority w:val="99"/>
    <w:rsid w:val="00864D6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81">
    <w:name w:val="xl81"/>
    <w:basedOn w:val="a"/>
    <w:uiPriority w:val="99"/>
    <w:rsid w:val="00864D6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styleId="af">
    <w:name w:val="endnote text"/>
    <w:basedOn w:val="a"/>
    <w:link w:val="Char4"/>
    <w:uiPriority w:val="99"/>
    <w:rsid w:val="00864D62"/>
    <w:pPr>
      <w:snapToGrid w:val="0"/>
      <w:jc w:val="left"/>
    </w:pPr>
    <w:rPr>
      <w:rFonts w:ascii="Calibri" w:hAnsi="Calibri" w:cs="Calibri"/>
      <w:szCs w:val="21"/>
    </w:rPr>
  </w:style>
  <w:style w:type="character" w:customStyle="1" w:styleId="Char4">
    <w:name w:val="尾注文本 Char"/>
    <w:basedOn w:val="a0"/>
    <w:link w:val="af"/>
    <w:uiPriority w:val="99"/>
    <w:locked/>
    <w:rsid w:val="00864D62"/>
    <w:rPr>
      <w:rFonts w:ascii="Calibri" w:eastAsia="宋体" w:hAnsi="Calibri" w:cs="Calibri"/>
      <w:sz w:val="21"/>
      <w:szCs w:val="21"/>
    </w:rPr>
  </w:style>
  <w:style w:type="character" w:styleId="af0">
    <w:name w:val="endnote reference"/>
    <w:basedOn w:val="a0"/>
    <w:uiPriority w:val="99"/>
    <w:rsid w:val="00864D62"/>
    <w:rPr>
      <w:rFonts w:cs="Times New Roman"/>
      <w:vertAlign w:val="superscript"/>
    </w:rPr>
  </w:style>
  <w:style w:type="paragraph" w:customStyle="1" w:styleId="xl82">
    <w:name w:val="xl82"/>
    <w:basedOn w:val="a"/>
    <w:uiPriority w:val="99"/>
    <w:rsid w:val="00864D6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uiPriority w:val="99"/>
    <w:rsid w:val="00864D6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4">
    <w:name w:val="xl84"/>
    <w:basedOn w:val="a"/>
    <w:uiPriority w:val="99"/>
    <w:rsid w:val="00864D6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36</cp:revision>
  <cp:lastPrinted>2020-03-16T03:00:00Z</cp:lastPrinted>
  <dcterms:created xsi:type="dcterms:W3CDTF">2020-03-16T02:22:00Z</dcterms:created>
  <dcterms:modified xsi:type="dcterms:W3CDTF">2020-08-24T01:50:00Z</dcterms:modified>
</cp:coreProperties>
</file>