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476885</wp:posOffset>
            </wp:positionV>
            <wp:extent cx="5351145" cy="7397115"/>
            <wp:effectExtent l="0" t="0" r="0" b="0"/>
            <wp:wrapTight wrapText="bothSides">
              <wp:wrapPolygon>
                <wp:start x="0" y="0"/>
                <wp:lineTo x="0" y="21620"/>
                <wp:lineTo x="21626" y="21620"/>
                <wp:lineTo x="21626" y="0"/>
                <wp:lineTo x="0" y="0"/>
              </wp:wrapPolygon>
            </wp:wrapTight>
            <wp:docPr id="1" name="图片 1" descr="2020-08-31 19:34:33.84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8-31 19:34:33.84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739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sz w:val="32"/>
          <w:szCs w:val="32"/>
          <w:lang w:eastAsia="zh-CN"/>
        </w:rPr>
        <w:t>行政案件流程示意图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2020-08-31T19:33:58Z</dcterms:created>
  <dc:creator>蔡华青的iPad</dc:creator>
  <cp:lastModifiedBy>蔡华青的iPad</cp:lastModifiedBy>
  <dcterms:modified xsi:type="dcterms:W3CDTF">2020-08-31T19:35:10Z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